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hint="eastAsia" w:ascii="Times New Roman" w:hAnsi="Times New Roman" w:eastAsia="宋体" w:cs="Times New Roman"/>
          <w:b/>
          <w:sz w:val="52"/>
          <w:szCs w:val="52"/>
        </w:rPr>
      </w:pPr>
      <w:r>
        <w:rPr>
          <w:rFonts w:hint="eastAsia" w:ascii="Times New Roman" w:hAnsi="Times New Roman" w:eastAsia="宋体" w:cs="Times New Roman"/>
          <w:b/>
          <w:sz w:val="52"/>
          <w:szCs w:val="52"/>
        </w:rPr>
        <w:t>导轨式胶轮系统</w:t>
      </w:r>
      <w:r>
        <w:rPr>
          <w:rFonts w:hint="default" w:ascii="Times New Roman" w:hAnsi="Times New Roman" w:eastAsia="宋体" w:cs="Times New Roman"/>
          <w:b/>
          <w:sz w:val="52"/>
          <w:szCs w:val="52"/>
          <w:lang w:val="en-US"/>
        </w:rPr>
        <w:t>行车组织管理规范</w:t>
      </w:r>
    </w:p>
    <w:p>
      <w:pPr>
        <w:jc w:val="right"/>
        <w:rPr>
          <w:rFonts w:ascii="Times New Roman" w:hAnsi="Times New Roman" w:eastAsia="宋体" w:cs="Times New Roman"/>
          <w:b/>
          <w:sz w:val="52"/>
          <w:szCs w:val="52"/>
        </w:rPr>
      </w:pPr>
      <w:r>
        <w:rPr>
          <w:rFonts w:ascii="Times New Roman" w:hAnsi="Times New Roman" w:eastAsia="宋体" w:cs="Times New Roman"/>
          <w:b/>
          <w:sz w:val="52"/>
          <w:szCs w:val="52"/>
        </w:rPr>
        <w:t>——编制说明</w:t>
      </w: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jc w:val="center"/>
        <w:rPr>
          <w:rFonts w:ascii="Times New Roman" w:hAnsi="Times New Roman" w:eastAsia="宋体" w:cs="Times New Roman"/>
          <w:b/>
          <w:sz w:val="36"/>
          <w:szCs w:val="44"/>
        </w:rPr>
      </w:pPr>
    </w:p>
    <w:p>
      <w:pPr>
        <w:jc w:val="center"/>
        <w:rPr>
          <w:rFonts w:ascii="Times New Roman" w:hAnsi="Times New Roman" w:eastAsia="宋体" w:cs="Times New Roman"/>
          <w:b/>
          <w:sz w:val="32"/>
          <w:szCs w:val="44"/>
        </w:rPr>
      </w:pPr>
      <w:r>
        <w:rPr>
          <w:rFonts w:ascii="Times New Roman" w:hAnsi="Times New Roman" w:eastAsia="宋体" w:cs="Times New Roman"/>
          <w:b/>
          <w:sz w:val="32"/>
          <w:szCs w:val="44"/>
        </w:rPr>
        <w:t>《</w:t>
      </w:r>
      <w:r>
        <w:rPr>
          <w:rFonts w:hint="eastAsia" w:ascii="Times New Roman" w:hAnsi="Times New Roman" w:eastAsia="宋体" w:cs="Times New Roman"/>
          <w:b/>
          <w:sz w:val="32"/>
          <w:szCs w:val="44"/>
        </w:rPr>
        <w:t>导轨式胶轮系统</w:t>
      </w:r>
      <w:r>
        <w:rPr>
          <w:rFonts w:hint="default" w:ascii="Times New Roman" w:hAnsi="Times New Roman" w:eastAsia="宋体" w:cs="Times New Roman"/>
          <w:b/>
          <w:sz w:val="32"/>
          <w:szCs w:val="44"/>
          <w:lang w:val="en-US"/>
        </w:rPr>
        <w:t>行车组织管理规范</w:t>
      </w:r>
      <w:r>
        <w:rPr>
          <w:rFonts w:ascii="Times New Roman" w:hAnsi="Times New Roman" w:eastAsia="宋体" w:cs="Times New Roman"/>
          <w:b/>
          <w:sz w:val="32"/>
          <w:szCs w:val="44"/>
        </w:rPr>
        <w:t>》编制组</w:t>
      </w:r>
    </w:p>
    <w:p>
      <w:pPr>
        <w:jc w:val="center"/>
        <w:rPr>
          <w:rFonts w:ascii="Times New Roman" w:hAnsi="Times New Roman" w:eastAsia="宋体" w:cs="Times New Roman"/>
          <w:b/>
          <w:sz w:val="32"/>
          <w:szCs w:val="44"/>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ascii="Times New Roman" w:hAnsi="Times New Roman" w:eastAsia="宋体" w:cs="Times New Roman"/>
          <w:b/>
          <w:sz w:val="32"/>
          <w:szCs w:val="44"/>
        </w:rPr>
        <w:t>202</w:t>
      </w:r>
      <w:r>
        <w:rPr>
          <w:rFonts w:hint="default" w:ascii="Times New Roman" w:hAnsi="Times New Roman" w:eastAsia="宋体" w:cs="Times New Roman"/>
          <w:b/>
          <w:sz w:val="32"/>
          <w:szCs w:val="44"/>
          <w:lang w:val="en-US"/>
        </w:rPr>
        <w:t>2</w:t>
      </w:r>
      <w:r>
        <w:rPr>
          <w:rFonts w:ascii="Times New Roman" w:hAnsi="Times New Roman" w:eastAsia="宋体" w:cs="Times New Roman"/>
          <w:b/>
          <w:sz w:val="32"/>
          <w:szCs w:val="44"/>
        </w:rPr>
        <w:t>年7月</w:t>
      </w:r>
    </w:p>
    <w:p>
      <w:pPr>
        <w:widowControl/>
        <w:spacing w:before="156" w:beforeLines="50" w:after="156" w:afterLines="50"/>
        <w:jc w:val="center"/>
        <w:rPr>
          <w:rFonts w:ascii="Times New Roman" w:hAnsi="Times New Roman" w:eastAsia="宋体" w:cs="Times New Roman"/>
          <w:b/>
          <w:sz w:val="32"/>
          <w:szCs w:val="24"/>
        </w:rPr>
      </w:pPr>
      <w:r>
        <w:rPr>
          <w:rFonts w:ascii="Times New Roman" w:hAnsi="Times New Roman" w:eastAsia="宋体" w:cs="Times New Roman"/>
          <w:b/>
          <w:sz w:val="32"/>
          <w:szCs w:val="24"/>
        </w:rPr>
        <w:t>目  录</w:t>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"1-1" \h \z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_Toc13384 </w:instrText>
      </w:r>
      <w:r>
        <w:rPr>
          <w:rFonts w:hint="eastAsia" w:ascii="宋体" w:hAnsi="宋体" w:eastAsia="宋体" w:cs="宋体"/>
          <w:sz w:val="24"/>
          <w:szCs w:val="24"/>
        </w:rPr>
        <w:fldChar w:fldCharType="separate"/>
      </w:r>
      <w:r>
        <w:rPr>
          <w:rFonts w:hint="eastAsia" w:ascii="宋体" w:hAnsi="宋体" w:eastAsia="宋体" w:cs="宋体"/>
          <w:sz w:val="24"/>
          <w:szCs w:val="24"/>
        </w:rPr>
        <w:t>一、任务来源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_Toc13384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_Toc14074 </w:instrText>
      </w:r>
      <w:r>
        <w:rPr>
          <w:rFonts w:hint="eastAsia" w:ascii="宋体" w:hAnsi="宋体" w:eastAsia="宋体" w:cs="宋体"/>
          <w:sz w:val="24"/>
          <w:szCs w:val="24"/>
        </w:rPr>
        <w:fldChar w:fldCharType="separate"/>
      </w:r>
      <w:r>
        <w:rPr>
          <w:rFonts w:hint="eastAsia" w:ascii="宋体" w:hAnsi="宋体" w:eastAsia="宋体" w:cs="宋体"/>
          <w:sz w:val="24"/>
          <w:szCs w:val="24"/>
        </w:rPr>
        <w:t>二、标准制定的必要性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_Toc14074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_Toc24676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三、主要工作过程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_Toc24676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_Toc13014 </w:instrText>
      </w:r>
      <w:r>
        <w:rPr>
          <w:rFonts w:hint="eastAsia" w:ascii="宋体" w:hAnsi="宋体" w:eastAsia="宋体" w:cs="宋体"/>
          <w:sz w:val="24"/>
          <w:szCs w:val="24"/>
        </w:rPr>
        <w:fldChar w:fldCharType="separate"/>
      </w:r>
      <w:r>
        <w:rPr>
          <w:rFonts w:hint="eastAsia" w:ascii="宋体" w:hAnsi="宋体" w:eastAsia="宋体" w:cs="宋体"/>
          <w:sz w:val="24"/>
          <w:szCs w:val="24"/>
        </w:rPr>
        <w:t>四、国内</w:t>
      </w:r>
      <w:r>
        <w:rPr>
          <w:rFonts w:hint="eastAsia" w:ascii="宋体" w:hAnsi="宋体" w:eastAsia="宋体" w:cs="宋体"/>
          <w:sz w:val="24"/>
          <w:szCs w:val="24"/>
          <w:lang w:val="en-US" w:eastAsia="zh-CN"/>
        </w:rPr>
        <w:t>外</w:t>
      </w:r>
      <w:r>
        <w:rPr>
          <w:rFonts w:hint="eastAsia" w:ascii="宋体" w:hAnsi="宋体" w:eastAsia="宋体" w:cs="宋体"/>
          <w:sz w:val="24"/>
          <w:szCs w:val="24"/>
        </w:rPr>
        <w:t>相关</w:t>
      </w:r>
      <w:r>
        <w:rPr>
          <w:rFonts w:hint="eastAsia" w:ascii="宋体" w:hAnsi="宋体" w:eastAsia="宋体" w:cs="宋体"/>
          <w:sz w:val="24"/>
          <w:szCs w:val="24"/>
          <w:lang w:val="en-US" w:eastAsia="zh-CN"/>
        </w:rPr>
        <w:t>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_Toc13014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_Toc26072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五、相关法律法规及标准情况说明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_Toc26072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_Toc19069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六</w:t>
      </w:r>
      <w:r>
        <w:rPr>
          <w:rFonts w:hint="eastAsia" w:ascii="宋体" w:hAnsi="宋体" w:eastAsia="宋体" w:cs="宋体"/>
          <w:sz w:val="24"/>
          <w:szCs w:val="24"/>
        </w:rPr>
        <w:t>、编制内容及说明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_Toc19069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_Toc28032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、主要条文说明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_Toc28032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_Toc29646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rPr>
        <w:t>、标准实施建议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_Toc29646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tabs>
          <w:tab w:val="right" w:leader="dot" w:pos="8306"/>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_Toc11343 </w:instrText>
      </w:r>
      <w:r>
        <w:rPr>
          <w:rFonts w:hint="eastAsia" w:ascii="宋体" w:hAnsi="宋体" w:eastAsia="宋体" w:cs="宋体"/>
          <w:sz w:val="24"/>
          <w:szCs w:val="24"/>
        </w:rPr>
        <w:fldChar w:fldCharType="separate"/>
      </w:r>
      <w:r>
        <w:rPr>
          <w:rFonts w:hint="eastAsia" w:ascii="宋体" w:hAnsi="宋体" w:eastAsia="宋体" w:cs="宋体"/>
          <w:sz w:val="24"/>
          <w:szCs w:val="24"/>
        </w:rPr>
        <w:t>九、标准起草单位及人员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_Toc11343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widowControl/>
        <w:spacing w:line="360" w:lineRule="auto"/>
        <w:jc w:val="center"/>
        <w:rPr>
          <w:rFonts w:ascii="Times New Roman" w:hAnsi="Times New Roman" w:eastAsia="宋体" w:cs="Times New Roman"/>
          <w:sz w:val="24"/>
          <w:szCs w:val="24"/>
        </w:rPr>
        <w:sectPr>
          <w:headerReference r:id="rId4" w:type="default"/>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sz w:val="24"/>
          <w:szCs w:val="24"/>
        </w:rPr>
        <w:fldChar w:fldCharType="end"/>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b/>
          <w:sz w:val="44"/>
          <w:szCs w:val="44"/>
        </w:rPr>
      </w:pPr>
      <w:r>
        <w:rPr>
          <w:rFonts w:hint="eastAsia" w:ascii="Times New Roman" w:hAnsi="Times New Roman" w:eastAsia="宋体" w:cs="Times New Roman"/>
          <w:b/>
          <w:sz w:val="44"/>
          <w:szCs w:val="44"/>
        </w:rPr>
        <w:t>《导轨式胶轮系统</w:t>
      </w:r>
      <w:r>
        <w:rPr>
          <w:rFonts w:hint="default" w:ascii="Times New Roman" w:hAnsi="Times New Roman" w:eastAsia="宋体" w:cs="Times New Roman"/>
          <w:b/>
          <w:sz w:val="44"/>
          <w:szCs w:val="44"/>
          <w:lang w:val="en-US"/>
        </w:rPr>
        <w:t>行车组织管理规范</w:t>
      </w:r>
      <w:r>
        <w:rPr>
          <w:rFonts w:hint="eastAsia" w:ascii="Times New Roman" w:hAnsi="Times New Roman" w:eastAsia="宋体" w:cs="Times New Roman"/>
          <w:b/>
          <w:sz w:val="44"/>
          <w:szCs w:val="44"/>
        </w:rPr>
        <w:t>》</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Times New Roman" w:hAnsi="Times New Roman" w:eastAsia="宋体" w:cs="Times New Roman"/>
          <w:b/>
          <w:sz w:val="44"/>
          <w:szCs w:val="44"/>
        </w:rPr>
      </w:pPr>
      <w:r>
        <w:rPr>
          <w:rFonts w:ascii="Times New Roman" w:hAnsi="Times New Roman" w:eastAsia="宋体" w:cs="Times New Roman"/>
          <w:b/>
          <w:sz w:val="44"/>
          <w:szCs w:val="44"/>
        </w:rPr>
        <w:t>编制说明</w:t>
      </w:r>
    </w:p>
    <w:p>
      <w:pPr>
        <w:widowControl/>
        <w:spacing w:line="360" w:lineRule="auto"/>
        <w:jc w:val="center"/>
        <w:rPr>
          <w:rFonts w:ascii="Times New Roman" w:hAnsi="Times New Roman" w:eastAsia="宋体" w:cs="Times New Roman"/>
          <w:b/>
          <w:sz w:val="44"/>
          <w:szCs w:val="44"/>
        </w:rPr>
      </w:pPr>
    </w:p>
    <w:p>
      <w:pPr>
        <w:outlineLvl w:val="0"/>
        <w:rPr>
          <w:rFonts w:ascii="Times New Roman" w:hAnsi="Times New Roman" w:eastAsia="宋体" w:cs="Times New Roman"/>
          <w:b/>
          <w:sz w:val="28"/>
          <w:szCs w:val="28"/>
        </w:rPr>
      </w:pPr>
      <w:bookmarkStart w:id="0" w:name="_Toc13384"/>
      <w:r>
        <w:rPr>
          <w:rFonts w:ascii="Times New Roman" w:hAnsi="Times New Roman" w:eastAsia="宋体" w:cs="Times New Roman"/>
          <w:b/>
          <w:sz w:val="28"/>
          <w:szCs w:val="28"/>
        </w:rPr>
        <w:t>一、任务来源</w:t>
      </w:r>
      <w:bookmarkEnd w:id="0"/>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为进一步推进城市轨道交通行业标准化工作，促进满足市场和创新需求的团体标准研究制定，</w:t>
      </w:r>
      <w:r>
        <w:rPr>
          <w:rFonts w:hint="eastAsia" w:ascii="宋体" w:hAnsi="宋体" w:eastAsia="宋体" w:cs="宋体"/>
          <w:sz w:val="24"/>
          <w:szCs w:val="24"/>
        </w:rPr>
        <w:t>202</w:t>
      </w:r>
      <w:r>
        <w:rPr>
          <w:rFonts w:hint="eastAsia" w:ascii="宋体" w:hAnsi="宋体" w:eastAsia="宋体" w:cs="宋体"/>
          <w:sz w:val="24"/>
          <w:szCs w:val="24"/>
          <w:lang w:val="en-US" w:eastAsia="zh-CN"/>
        </w:rPr>
        <w:t>2</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月2</w:t>
      </w:r>
      <w:r>
        <w:rPr>
          <w:rFonts w:hint="eastAsia" w:ascii="宋体" w:hAnsi="宋体" w:eastAsia="宋体" w:cs="宋体"/>
          <w:sz w:val="24"/>
          <w:szCs w:val="24"/>
          <w:lang w:val="en-US"/>
        </w:rPr>
        <w:t>0</w:t>
      </w:r>
      <w:r>
        <w:rPr>
          <w:rFonts w:hint="eastAsia" w:ascii="宋体" w:hAnsi="宋体" w:eastAsia="宋体" w:cs="宋体"/>
          <w:sz w:val="24"/>
          <w:szCs w:val="24"/>
        </w:rPr>
        <w:t>日，</w:t>
      </w:r>
      <w:r>
        <w:rPr>
          <w:rFonts w:hint="eastAsia" w:ascii="宋体" w:hAnsi="宋体" w:eastAsia="宋体" w:cs="宋体"/>
          <w:sz w:val="24"/>
          <w:szCs w:val="24"/>
          <w:lang w:val="en-US" w:eastAsia="zh-CN"/>
        </w:rPr>
        <w:t>深圳市城市轨道交通协会</w:t>
      </w:r>
      <w:r>
        <w:rPr>
          <w:rFonts w:hint="eastAsia" w:ascii="宋体" w:hAnsi="宋体" w:eastAsia="宋体" w:cs="宋体"/>
          <w:sz w:val="24"/>
          <w:szCs w:val="24"/>
          <w:lang w:val="en-US" w:eastAsia="zh-CN"/>
        </w:rPr>
        <w:t>根据《深圳市城市轨道交通协会团体标准管理办法》和有关规定，</w:t>
      </w:r>
      <w:r>
        <w:rPr>
          <w:rFonts w:hint="eastAsia" w:ascii="宋体" w:hAnsi="宋体" w:eastAsia="宋体" w:cs="宋体"/>
          <w:sz w:val="24"/>
          <w:szCs w:val="24"/>
          <w:lang w:val="en-US" w:eastAsia="zh-CN"/>
        </w:rPr>
        <w:t>发布《关于&lt;导轨式胶轮系统正式运营安全评估规范&gt;等3项团体标准立项的通知》（深轨交协〔2022〕11号），</w:t>
      </w:r>
      <w:r>
        <w:rPr>
          <w:rFonts w:hint="eastAsia" w:ascii="宋体" w:hAnsi="宋体" w:eastAsia="宋体" w:cs="宋体"/>
          <w:sz w:val="24"/>
          <w:szCs w:val="24"/>
        </w:rPr>
        <w:t>正式立项</w:t>
      </w:r>
      <w:r>
        <w:rPr>
          <w:rFonts w:hint="eastAsia" w:ascii="宋体" w:hAnsi="宋体" w:eastAsia="宋体" w:cs="宋体"/>
          <w:sz w:val="24"/>
          <w:szCs w:val="24"/>
          <w:lang w:val="en-US" w:eastAsia="zh-CN"/>
        </w:rPr>
        <w:t>团体</w:t>
      </w:r>
      <w:r>
        <w:rPr>
          <w:rFonts w:hint="eastAsia" w:ascii="宋体" w:hAnsi="宋体" w:eastAsia="宋体" w:cs="宋体"/>
          <w:sz w:val="24"/>
          <w:szCs w:val="24"/>
        </w:rPr>
        <w:t>标准《</w:t>
      </w:r>
      <w:r>
        <w:rPr>
          <w:rFonts w:hint="eastAsia" w:ascii="宋体" w:hAnsi="宋体" w:eastAsia="宋体" w:cs="宋体"/>
          <w:sz w:val="24"/>
          <w:szCs w:val="24"/>
          <w:lang w:val="en-US" w:eastAsia="zh-CN"/>
        </w:rPr>
        <w:t>导轨式胶轮系统</w:t>
      </w:r>
      <w:r>
        <w:rPr>
          <w:rFonts w:hint="eastAsia" w:ascii="宋体" w:hAnsi="宋体" w:eastAsia="宋体" w:cs="宋体"/>
          <w:sz w:val="24"/>
          <w:szCs w:val="24"/>
          <w:lang w:val="en-US" w:eastAsia="zh-CN"/>
        </w:rPr>
        <w:t>行车组织管理</w:t>
      </w:r>
      <w:r>
        <w:rPr>
          <w:rFonts w:hint="eastAsia" w:ascii="宋体" w:hAnsi="宋体" w:eastAsia="宋体" w:cs="宋体"/>
          <w:sz w:val="24"/>
          <w:szCs w:val="24"/>
          <w:lang w:val="en-US" w:eastAsia="zh-CN"/>
        </w:rPr>
        <w:t>规范</w:t>
      </w:r>
      <w:r>
        <w:rPr>
          <w:rFonts w:hint="eastAsia" w:ascii="宋体" w:hAnsi="宋体" w:eastAsia="宋体" w:cs="宋体"/>
          <w:sz w:val="24"/>
          <w:szCs w:val="24"/>
        </w:rPr>
        <w:t>》</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本标准</w:t>
      </w:r>
      <w:r>
        <w:rPr>
          <w:rFonts w:hint="eastAsia" w:ascii="宋体" w:hAnsi="宋体" w:eastAsia="宋体" w:cs="宋体"/>
          <w:sz w:val="24"/>
          <w:szCs w:val="24"/>
          <w:lang w:val="en-US" w:eastAsia="zh-CN"/>
        </w:rPr>
        <w:t>由</w:t>
      </w:r>
      <w:r>
        <w:rPr>
          <w:rFonts w:hint="eastAsia" w:ascii="宋体" w:hAnsi="宋体" w:eastAsia="宋体" w:cs="宋体"/>
          <w:sz w:val="24"/>
          <w:szCs w:val="24"/>
          <w:lang w:val="en-US" w:eastAsia="zh-CN"/>
        </w:rPr>
        <w:t>深圳市城市轨道交通协会</w:t>
      </w:r>
      <w:r>
        <w:rPr>
          <w:rFonts w:hint="eastAsia" w:ascii="宋体" w:hAnsi="宋体" w:eastAsia="宋体" w:cs="宋体"/>
          <w:sz w:val="24"/>
          <w:szCs w:val="24"/>
          <w:lang w:val="en-US" w:eastAsia="zh-CN"/>
        </w:rPr>
        <w:t>归口管理</w:t>
      </w:r>
      <w:r>
        <w:rPr>
          <w:rFonts w:hint="eastAsia" w:ascii="宋体" w:hAnsi="宋体" w:eastAsia="宋体" w:cs="宋体"/>
          <w:sz w:val="24"/>
          <w:szCs w:val="24"/>
        </w:rPr>
        <w:t>，</w:t>
      </w:r>
      <w:r>
        <w:rPr>
          <w:rFonts w:hint="eastAsia" w:ascii="宋体" w:hAnsi="宋体" w:eastAsia="宋体" w:cs="宋体"/>
          <w:sz w:val="24"/>
          <w:szCs w:val="24"/>
          <w:lang w:val="en-US" w:eastAsia="zh-CN"/>
        </w:rPr>
        <w:t>由</w:t>
      </w:r>
      <w:r>
        <w:rPr>
          <w:rFonts w:hint="eastAsia" w:ascii="宋体" w:hAnsi="宋体" w:eastAsia="宋体" w:cs="宋体"/>
          <w:sz w:val="24"/>
          <w:szCs w:val="24"/>
          <w:lang w:val="en-US" w:eastAsia="zh-CN"/>
        </w:rPr>
        <w:t>比亚迪汽车工业有限公司</w:t>
      </w:r>
      <w:r>
        <w:rPr>
          <w:rFonts w:hint="eastAsia" w:ascii="宋体" w:hAnsi="宋体" w:eastAsia="宋体" w:cs="宋体"/>
          <w:sz w:val="24"/>
          <w:szCs w:val="24"/>
          <w:lang w:val="en-US" w:eastAsia="zh-CN"/>
        </w:rPr>
        <w:t>牵头编制</w:t>
      </w:r>
      <w:r>
        <w:rPr>
          <w:rFonts w:hint="eastAsia" w:ascii="宋体" w:hAnsi="宋体" w:eastAsia="宋体" w:cs="宋体"/>
          <w:sz w:val="24"/>
          <w:szCs w:val="24"/>
          <w:lang w:val="en-US" w:eastAsia="zh-CN"/>
        </w:rPr>
        <w:t>。</w:t>
      </w:r>
    </w:p>
    <w:p>
      <w:pPr>
        <w:outlineLvl w:val="0"/>
        <w:rPr>
          <w:rFonts w:ascii="Times New Roman" w:hAnsi="Times New Roman" w:eastAsia="宋体" w:cs="Times New Roman"/>
          <w:b/>
          <w:sz w:val="28"/>
          <w:szCs w:val="28"/>
        </w:rPr>
      </w:pPr>
      <w:bookmarkStart w:id="1" w:name="_Toc14074"/>
      <w:r>
        <w:rPr>
          <w:rFonts w:ascii="Times New Roman" w:hAnsi="Times New Roman" w:eastAsia="宋体" w:cs="Times New Roman"/>
          <w:b/>
          <w:sz w:val="28"/>
          <w:szCs w:val="28"/>
        </w:rPr>
        <w:t>二、标准制定的必要性</w:t>
      </w:r>
      <w:bookmarkEnd w:id="1"/>
    </w:p>
    <w:p>
      <w:pPr>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1. 标准编制必要性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随着我国都市圈一体化不断发展，城市轨道交通建设迅猛增长。但国内城市轨道交通层次相对单一（以地铁为主），建设、运营、维护成本较高，亟需构建大、中、小运量协调发展的多层次、一体化公共交通系统。同时国务院办公厅2018年52号文《关于进一步加强城市轨道交通规划建设工作的意见》指出，我国城市轨道交通的发展原则是量力而行、有序发展。为满足城市发展对于小运量轨道交通系统的需求，基于当前公共交通体系中运能</w:t>
      </w:r>
      <w:r>
        <w:rPr>
          <w:rFonts w:hint="eastAsia" w:ascii="宋体" w:hAnsi="宋体" w:eastAsia="宋体" w:cs="宋体"/>
          <w:sz w:val="24"/>
          <w:szCs w:val="24"/>
          <w:lang w:val="en-US" w:eastAsia="zh-CN"/>
        </w:rPr>
        <w:t>每</w:t>
      </w:r>
      <w:r>
        <w:rPr>
          <w:rFonts w:hint="eastAsia" w:ascii="宋体" w:hAnsi="宋体" w:eastAsia="宋体" w:cs="宋体"/>
          <w:sz w:val="24"/>
          <w:szCs w:val="24"/>
        </w:rPr>
        <w:t>小时</w:t>
      </w:r>
      <w:r>
        <w:rPr>
          <w:rFonts w:hint="eastAsia" w:ascii="宋体" w:hAnsi="宋体" w:eastAsia="宋体" w:cs="宋体"/>
          <w:sz w:val="24"/>
          <w:szCs w:val="24"/>
        </w:rPr>
        <w:t>1万人次以下的需求和产品空白，国内相关企业也开展了针对性的产品研发，导轨式胶轮系统就是其中一种。</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导轨式胶轮系统作为新型低运能</w:t>
      </w:r>
      <w:r>
        <w:rPr>
          <w:rFonts w:hint="eastAsia" w:ascii="Times New Roman" w:hAnsi="Times New Roman" w:eastAsia="宋体" w:cs="Times New Roman"/>
          <w:sz w:val="24"/>
          <w:szCs w:val="24"/>
          <w:lang w:val="en-US" w:eastAsia="zh-CN"/>
        </w:rPr>
        <w:t>城市轨道交通</w:t>
      </w:r>
      <w:r>
        <w:rPr>
          <w:rFonts w:hint="eastAsia" w:ascii="Times New Roman" w:hAnsi="Times New Roman" w:eastAsia="宋体" w:cs="Times New Roman"/>
          <w:sz w:val="24"/>
          <w:szCs w:val="24"/>
        </w:rPr>
        <w:t>系统，具有不占用道路资源、建设成本低、建造周期短、环境友好、智能化程度高的优点，可广泛应用于超大型和大型城市交通支线和加密线、中小城市主干线、城市综合交通枢纽接驳线、旅游景区观光线、大型活动中心内部环线、老城区及旧城改造交通线。导轨式胶轮系统能够为居民提供更智能、舒适、便捷、安全的出行体验，助力城市交通新升级。同时导轨式胶轮系统造价及运营成本较低，对于地方的财务压力小，有利于营造良好的社会经济效益。</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导轨式胶轮系统作为新型低运能系统，符合城市轨道交通绿色、智能、高效的发展趋势，拥有较好的应用前景。导轨式胶轮系统的发展还处于起步阶段，</w:t>
      </w:r>
      <w:r>
        <w:rPr>
          <w:rFonts w:hint="eastAsia" w:ascii="Times New Roman" w:hAnsi="Times New Roman" w:eastAsia="宋体" w:cs="Times New Roman"/>
          <w:sz w:val="24"/>
          <w:szCs w:val="24"/>
          <w:lang w:val="en-US" w:eastAsia="zh-CN"/>
        </w:rPr>
        <w:t>作为一种</w:t>
      </w:r>
      <w:r>
        <w:rPr>
          <w:rFonts w:hint="eastAsia" w:ascii="Times New Roman" w:hAnsi="Times New Roman" w:eastAsia="宋体" w:cs="Times New Roman"/>
          <w:sz w:val="24"/>
          <w:szCs w:val="24"/>
        </w:rPr>
        <w:t>低运量城市轨道交通系统，</w:t>
      </w:r>
      <w:r>
        <w:rPr>
          <w:rFonts w:hint="eastAsia" w:ascii="Times New Roman" w:hAnsi="Times New Roman" w:eastAsia="宋体" w:cs="Times New Roman"/>
          <w:sz w:val="24"/>
          <w:szCs w:val="24"/>
          <w:lang w:val="en-US" w:eastAsia="zh-CN"/>
        </w:rPr>
        <w:t>其</w:t>
      </w:r>
      <w:r>
        <w:rPr>
          <w:rFonts w:hint="eastAsia" w:ascii="Times New Roman" w:hAnsi="Times New Roman" w:eastAsia="宋体" w:cs="Times New Roman"/>
          <w:sz w:val="24"/>
          <w:szCs w:val="24"/>
        </w:rPr>
        <w:t>行车组织有别于地铁、轻轨和有轨电车等其他制式，行车组织管理不能完全套用现有的规范，</w:t>
      </w:r>
      <w:r>
        <w:rPr>
          <w:rFonts w:hint="eastAsia" w:ascii="Times New Roman" w:hAnsi="Times New Roman" w:eastAsia="宋体" w:cs="Times New Roman"/>
          <w:sz w:val="24"/>
          <w:szCs w:val="24"/>
          <w:lang w:val="en-US" w:eastAsia="zh-CN"/>
        </w:rPr>
        <w:t>目前尚未制定针对导轨式胶轮系统行车组织管理的</w:t>
      </w:r>
      <w:r>
        <w:rPr>
          <w:rFonts w:hint="eastAsia" w:ascii="Times New Roman" w:hAnsi="Times New Roman" w:eastAsia="宋体" w:cs="Times New Roman"/>
          <w:sz w:val="24"/>
          <w:szCs w:val="24"/>
        </w:rPr>
        <w:t>标准。</w:t>
      </w:r>
      <w:r>
        <w:rPr>
          <w:rFonts w:hint="eastAsia" w:ascii="Times New Roman" w:hAnsi="Times New Roman" w:eastAsia="宋体" w:cs="Times New Roman"/>
          <w:sz w:val="24"/>
          <w:szCs w:val="24"/>
          <w:lang w:val="en-US" w:eastAsia="zh-CN"/>
        </w:rPr>
        <w:t>因此，</w:t>
      </w:r>
      <w:r>
        <w:rPr>
          <w:rFonts w:hint="eastAsia" w:ascii="Times New Roman" w:hAnsi="Times New Roman" w:eastAsia="宋体" w:cs="Times New Roman"/>
          <w:sz w:val="24"/>
          <w:szCs w:val="24"/>
        </w:rPr>
        <w:t>亟需编制导轨式胶轮系统</w:t>
      </w:r>
      <w:r>
        <w:rPr>
          <w:rFonts w:hint="eastAsia" w:ascii="Times New Roman" w:hAnsi="Times New Roman" w:eastAsia="宋体" w:cs="Times New Roman"/>
          <w:sz w:val="24"/>
          <w:szCs w:val="24"/>
          <w:lang w:val="en-US" w:eastAsia="zh-CN"/>
        </w:rPr>
        <w:t>行车组织管理</w:t>
      </w:r>
      <w:r>
        <w:rPr>
          <w:rFonts w:hint="eastAsia" w:ascii="Times New Roman" w:hAnsi="Times New Roman" w:eastAsia="宋体" w:cs="Times New Roman"/>
          <w:sz w:val="24"/>
          <w:szCs w:val="24"/>
        </w:rPr>
        <w:t>标准，以满足城市公共交通发展的需要，形成完整的系统标准体系，指导、规范系统的</w:t>
      </w:r>
      <w:r>
        <w:rPr>
          <w:rFonts w:hint="eastAsia" w:ascii="Times New Roman" w:hAnsi="Times New Roman" w:eastAsia="宋体" w:cs="Times New Roman"/>
          <w:sz w:val="24"/>
          <w:szCs w:val="24"/>
          <w:lang w:val="en-US" w:eastAsia="zh-CN"/>
        </w:rPr>
        <w:t>行车组织</w:t>
      </w:r>
      <w:r>
        <w:rPr>
          <w:rFonts w:hint="eastAsia" w:ascii="Times New Roman" w:hAnsi="Times New Roman" w:eastAsia="宋体" w:cs="Times New Roman"/>
          <w:sz w:val="24"/>
          <w:szCs w:val="24"/>
        </w:rPr>
        <w:t>管理，保证系统能够安全、高效地服务乘客。</w:t>
      </w:r>
    </w:p>
    <w:p>
      <w:pPr>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2. 编制原则</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标准编制初期，课题组根据前期的研究工作，确定了以下五项原则：</w:t>
      </w:r>
    </w:p>
    <w:p>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（1）与现行法律、法规、标准协调</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本标准以国家现行的城市公共交通、城市轨道交通法律法规为准绳，与我国现行的城市公共交通、城市轨道交通法律、政策、标准协调配套，与现行的城市轨道交通产业发展方针相一致。</w:t>
      </w:r>
    </w:p>
    <w:p>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（2）以数据和事实为基础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本标准的编制以国内外城市轨道交通的相关运营经验为基础，结合导轨式胶轮系统的运营情况，以及国内城市轨道交通产业的系列标准为依据编制。</w:t>
      </w:r>
    </w:p>
    <w:p>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（3）突出智能化、自动化、少人化运营的特点</w:t>
      </w:r>
    </w:p>
    <w:p>
      <w:pPr>
        <w:tabs>
          <w:tab w:val="left" w:pos="72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充分考虑导轨式胶轮系统具有较高的设备自动化程度与可靠度，在保证服务质量和安全性能的基础上，体现了导轨式胶轮系统在降低运营成本，提高经济效益方面的优势。</w:t>
      </w:r>
    </w:p>
    <w:p>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（4）现状与未来相结合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弥补</w:t>
      </w:r>
      <w:r>
        <w:rPr>
          <w:rFonts w:hint="eastAsia" w:ascii="宋体" w:hAnsi="宋体" w:eastAsia="宋体" w:cs="宋体"/>
          <w:sz w:val="24"/>
          <w:szCs w:val="24"/>
        </w:rPr>
        <w:t>现有其他标准的不足，既着眼于目前的现实问题，同时考虑到城市轨道交通的远期发展，鼓励创新精神，促进城市轨道交通优化</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模式。</w:t>
      </w:r>
    </w:p>
    <w:p>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（5）可操作性强</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本标准</w:t>
      </w:r>
      <w:r>
        <w:rPr>
          <w:rFonts w:ascii="Times New Roman" w:hAnsi="Times New Roman" w:eastAsia="宋体" w:cs="Times New Roman"/>
          <w:sz w:val="24"/>
          <w:szCs w:val="24"/>
        </w:rPr>
        <w:t>在国内外</w:t>
      </w:r>
      <w:r>
        <w:rPr>
          <w:rFonts w:hint="eastAsia" w:ascii="Times New Roman" w:hAnsi="Times New Roman" w:eastAsia="宋体" w:cs="Times New Roman"/>
          <w:sz w:val="24"/>
          <w:szCs w:val="24"/>
        </w:rPr>
        <w:t>城市</w:t>
      </w:r>
      <w:r>
        <w:rPr>
          <w:rFonts w:ascii="Times New Roman" w:hAnsi="Times New Roman" w:eastAsia="宋体" w:cs="Times New Roman"/>
          <w:sz w:val="24"/>
          <w:szCs w:val="24"/>
        </w:rPr>
        <w:t>轨道交通的运营经验</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基础上，结合</w:t>
      </w:r>
      <w:r>
        <w:rPr>
          <w:rFonts w:hint="eastAsia" w:ascii="Times New Roman" w:hAnsi="Times New Roman" w:eastAsia="宋体" w:cs="Times New Roman"/>
          <w:sz w:val="24"/>
          <w:szCs w:val="24"/>
          <w:lang w:val="en-US" w:eastAsia="zh-CN"/>
        </w:rPr>
        <w:t>导轨式胶轮系统的特点，</w:t>
      </w:r>
      <w:r>
        <w:rPr>
          <w:rFonts w:ascii="Times New Roman" w:hAnsi="Times New Roman" w:eastAsia="宋体" w:cs="Times New Roman"/>
          <w:sz w:val="24"/>
          <w:szCs w:val="24"/>
        </w:rPr>
        <w:t>确定了</w:t>
      </w:r>
      <w:r>
        <w:rPr>
          <w:rFonts w:hint="eastAsia" w:ascii="Times New Roman" w:hAnsi="Times New Roman" w:eastAsia="宋体" w:cs="Times New Roman"/>
          <w:sz w:val="24"/>
          <w:szCs w:val="24"/>
          <w:lang w:val="en-US" w:eastAsia="zh-CN"/>
        </w:rPr>
        <w:t>设备设施、正常情况下的行车组织、非正常情况下的行车组织、运营施工组织、信号显示</w:t>
      </w:r>
      <w:r>
        <w:rPr>
          <w:rFonts w:ascii="Times New Roman" w:hAnsi="Times New Roman" w:eastAsia="宋体" w:cs="Times New Roman"/>
          <w:sz w:val="24"/>
          <w:szCs w:val="24"/>
        </w:rPr>
        <w:t>等要求，便于具体的实施和运用。</w:t>
      </w:r>
    </w:p>
    <w:p>
      <w:pPr>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3. 编制思路</w:t>
      </w:r>
    </w:p>
    <w:p>
      <w:pPr>
        <w:tabs>
          <w:tab w:val="left" w:pos="1440"/>
        </w:tabs>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rPr>
        <w:t>本标准在研究和总结国</w:t>
      </w:r>
      <w:r>
        <w:rPr>
          <w:rFonts w:hint="eastAsia" w:ascii="Times New Roman" w:hAnsi="Times New Roman" w:eastAsia="宋体" w:cs="Times New Roman"/>
          <w:sz w:val="24"/>
          <w:szCs w:val="24"/>
        </w:rPr>
        <w:t>内外城市轨道交通运营</w:t>
      </w:r>
      <w:r>
        <w:rPr>
          <w:rFonts w:ascii="Times New Roman" w:hAnsi="Times New Roman" w:eastAsia="宋体" w:cs="Times New Roman"/>
          <w:sz w:val="24"/>
          <w:szCs w:val="24"/>
        </w:rPr>
        <w:t>经验的基础上，结合现行相关</w:t>
      </w:r>
      <w:r>
        <w:rPr>
          <w:rFonts w:ascii="Times New Roman" w:hAnsi="Times New Roman" w:eastAsia="宋体" w:cs="Times New Roman"/>
          <w:sz w:val="24"/>
          <w:szCs w:val="24"/>
          <w:highlight w:val="none"/>
        </w:rPr>
        <w:t>规范和本系统</w:t>
      </w:r>
      <w:r>
        <w:rPr>
          <w:rFonts w:hint="eastAsia" w:ascii="Times New Roman" w:hAnsi="Times New Roman" w:eastAsia="宋体" w:cs="Times New Roman"/>
          <w:sz w:val="24"/>
          <w:szCs w:val="24"/>
          <w:highlight w:val="none"/>
        </w:rPr>
        <w:t>的特点及</w:t>
      </w:r>
      <w:r>
        <w:rPr>
          <w:rFonts w:ascii="Times New Roman" w:hAnsi="Times New Roman" w:eastAsia="宋体" w:cs="Times New Roman"/>
          <w:sz w:val="24"/>
          <w:szCs w:val="24"/>
          <w:highlight w:val="none"/>
        </w:rPr>
        <w:t>运营</w:t>
      </w:r>
      <w:r>
        <w:rPr>
          <w:rFonts w:hint="eastAsia" w:ascii="Times New Roman" w:hAnsi="Times New Roman" w:eastAsia="宋体" w:cs="Times New Roman"/>
          <w:sz w:val="24"/>
          <w:szCs w:val="24"/>
          <w:highlight w:val="none"/>
          <w:lang w:val="en-US" w:eastAsia="zh-CN"/>
        </w:rPr>
        <w:t>行车组织管理</w:t>
      </w:r>
      <w:r>
        <w:rPr>
          <w:rFonts w:ascii="Times New Roman" w:hAnsi="Times New Roman" w:eastAsia="宋体" w:cs="Times New Roman"/>
          <w:sz w:val="24"/>
          <w:szCs w:val="24"/>
          <w:highlight w:val="none"/>
        </w:rPr>
        <w:t>情况，</w:t>
      </w:r>
      <w:r>
        <w:rPr>
          <w:rFonts w:hint="eastAsia" w:ascii="Times New Roman" w:hAnsi="Times New Roman" w:eastAsia="宋体" w:cs="Times New Roman"/>
          <w:sz w:val="24"/>
          <w:szCs w:val="24"/>
          <w:highlight w:val="none"/>
        </w:rPr>
        <w:t>提出</w:t>
      </w:r>
      <w:r>
        <w:rPr>
          <w:rFonts w:ascii="Times New Roman" w:hAnsi="Times New Roman" w:eastAsia="宋体" w:cs="Times New Roman"/>
          <w:sz w:val="24"/>
          <w:szCs w:val="24"/>
          <w:highlight w:val="none"/>
        </w:rPr>
        <w:t>具体的要求。</w:t>
      </w:r>
    </w:p>
    <w:p>
      <w:pPr>
        <w:keepNext w:val="0"/>
        <w:keepLines w:val="0"/>
        <w:pageBreakBefore w:val="0"/>
        <w:widowControl w:val="0"/>
        <w:kinsoku/>
        <w:wordWrap/>
        <w:overflowPunct/>
        <w:topLinePunct w:val="0"/>
        <w:autoSpaceDE/>
        <w:autoSpaceDN/>
        <w:bidi w:val="0"/>
        <w:adjustRightInd/>
        <w:snapToGrid/>
        <w:textAlignment w:val="auto"/>
        <w:outlineLvl w:val="0"/>
        <w:rPr>
          <w:rFonts w:ascii="Times New Roman" w:hAnsi="Times New Roman" w:eastAsia="宋体" w:cs="Times New Roman"/>
          <w:b/>
          <w:sz w:val="28"/>
          <w:szCs w:val="28"/>
          <w:highlight w:val="none"/>
        </w:rPr>
      </w:pPr>
      <w:bookmarkStart w:id="2" w:name="_Toc24676"/>
      <w:r>
        <w:rPr>
          <w:rFonts w:ascii="Times New Roman" w:hAnsi="Times New Roman" w:eastAsia="宋体" w:cs="Times New Roman"/>
          <w:b/>
          <w:sz w:val="28"/>
          <w:szCs w:val="28"/>
          <w:highlight w:val="none"/>
        </w:rPr>
        <w:t>三、主要工作过程</w:t>
      </w:r>
      <w:bookmarkEnd w:id="2"/>
    </w:p>
    <w:p>
      <w:pPr>
        <w:tabs>
          <w:tab w:val="left" w:pos="720"/>
        </w:tabs>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比亚迪汽车工业有限公司作为本标准的起草牵头单位，组织深圳比亚迪轨道交通运营有限公司、比亚迪建设工程有限公司、比亚迪勘察设计有限公司、比亚迪机电设备有限公司、比亚迪通信信号有限公司、重庆云巴轨道交通运营管理有限公司等单位成立标准起草组，并开展了以下工作：</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基础调研</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2022年3月～4月，根据标准编制工作的实际需要，</w:t>
      </w:r>
      <w:r>
        <w:rPr>
          <w:rFonts w:hint="eastAsia" w:ascii="宋体" w:hAnsi="宋体" w:eastAsia="宋体" w:cs="宋体"/>
          <w:sz w:val="24"/>
          <w:szCs w:val="24"/>
          <w:highlight w:val="none"/>
          <w:lang w:val="en-US" w:eastAsia="zh-CN"/>
        </w:rPr>
        <w:t>编制组</w:t>
      </w:r>
      <w:r>
        <w:rPr>
          <w:rFonts w:hint="eastAsia" w:ascii="宋体" w:hAnsi="宋体" w:eastAsia="宋体" w:cs="宋体"/>
          <w:sz w:val="24"/>
          <w:szCs w:val="24"/>
          <w:highlight w:val="none"/>
          <w:lang w:val="en-US" w:eastAsia="zh-CN"/>
        </w:rPr>
        <w:t>系统梳理了国内外城市轨道交通行车组织管理工作情况和技术现状，实地调研了相关运营企业，了解</w:t>
      </w:r>
      <w:r>
        <w:rPr>
          <w:rFonts w:hint="eastAsia" w:ascii="宋体" w:hAnsi="宋体" w:eastAsia="宋体" w:cs="宋体"/>
          <w:sz w:val="24"/>
          <w:szCs w:val="24"/>
          <w:highlight w:val="none"/>
          <w:lang w:val="en-US" w:eastAsia="zh-CN"/>
        </w:rPr>
        <w:t>行车组织</w:t>
      </w:r>
      <w:r>
        <w:rPr>
          <w:rFonts w:hint="eastAsia" w:ascii="宋体" w:hAnsi="宋体" w:eastAsia="宋体" w:cs="宋体"/>
          <w:sz w:val="24"/>
          <w:szCs w:val="24"/>
          <w:highlight w:val="none"/>
          <w:lang w:val="en-US" w:eastAsia="zh-CN"/>
        </w:rPr>
        <w:t>存在的问题和有关需求。同时，</w:t>
      </w:r>
      <w:r>
        <w:rPr>
          <w:rFonts w:hint="eastAsia" w:ascii="宋体" w:hAnsi="宋体" w:eastAsia="宋体" w:cs="宋体"/>
          <w:sz w:val="24"/>
          <w:szCs w:val="24"/>
          <w:highlight w:val="none"/>
          <w:lang w:val="en-US" w:eastAsia="zh-CN"/>
        </w:rPr>
        <w:t>编制</w:t>
      </w:r>
      <w:r>
        <w:rPr>
          <w:rFonts w:hint="eastAsia" w:ascii="宋体" w:hAnsi="宋体" w:eastAsia="宋体" w:cs="宋体"/>
          <w:sz w:val="24"/>
          <w:szCs w:val="24"/>
          <w:highlight w:val="none"/>
          <w:lang w:val="en-US" w:eastAsia="zh-CN"/>
        </w:rPr>
        <w:t>组对导轨式胶轮系统的</w:t>
      </w:r>
      <w:r>
        <w:rPr>
          <w:rFonts w:hint="eastAsia" w:ascii="宋体" w:hAnsi="宋体" w:eastAsia="宋体" w:cs="宋体"/>
          <w:sz w:val="24"/>
          <w:szCs w:val="24"/>
          <w:highlight w:val="none"/>
        </w:rPr>
        <w:t>车辆、道岔、轨道梁、供电系统及动力电池等</w:t>
      </w:r>
      <w:r>
        <w:rPr>
          <w:rFonts w:hint="eastAsia" w:ascii="宋体" w:hAnsi="宋体" w:eastAsia="宋体" w:cs="宋体"/>
          <w:sz w:val="24"/>
          <w:szCs w:val="24"/>
          <w:highlight w:val="none"/>
          <w:lang w:val="en-US" w:eastAsia="zh-CN"/>
        </w:rPr>
        <w:t>方面进行充分研究，与地铁、轻轨、有轨电车等轨道交通进行对比，分析导轨式胶轮系统与其他制式的行车组织不同之处。</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标准立项</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2022年5月，</w:t>
      </w:r>
      <w:r>
        <w:rPr>
          <w:rFonts w:hint="eastAsia" w:ascii="宋体" w:hAnsi="宋体" w:eastAsia="宋体" w:cs="宋体"/>
          <w:sz w:val="24"/>
          <w:szCs w:val="24"/>
          <w:highlight w:val="none"/>
          <w:lang w:val="en-US" w:eastAsia="zh-CN"/>
        </w:rPr>
        <w:t>编制组向深圳市城市轨道交通协会提交了</w:t>
      </w:r>
      <w:r>
        <w:rPr>
          <w:rFonts w:hint="eastAsia" w:ascii="宋体" w:hAnsi="宋体" w:eastAsia="宋体" w:cs="宋体"/>
          <w:sz w:val="24"/>
          <w:szCs w:val="24"/>
          <w:highlight w:val="none"/>
          <w:lang w:val="en-US" w:eastAsia="zh-CN"/>
        </w:rPr>
        <w:t>团标编制工作方案及《深圳市城市轨道交通协会团体标准制修订项目申报书》。</w:t>
      </w:r>
    </w:p>
    <w:p>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2022年6月，深圳市城市轨道交通协会根据《深圳市城市轨道交通协会团体标准管理办法》和有关规定，</w:t>
      </w:r>
      <w:r>
        <w:rPr>
          <w:rFonts w:hint="eastAsia" w:ascii="宋体" w:hAnsi="宋体" w:eastAsia="宋体" w:cs="宋体"/>
          <w:sz w:val="24"/>
          <w:szCs w:val="24"/>
          <w:highlight w:val="none"/>
        </w:rPr>
        <w:t>正式立项</w:t>
      </w:r>
      <w:r>
        <w:rPr>
          <w:rFonts w:hint="eastAsia" w:ascii="宋体" w:hAnsi="宋体" w:eastAsia="宋体" w:cs="宋体"/>
          <w:sz w:val="24"/>
          <w:szCs w:val="24"/>
          <w:highlight w:val="none"/>
          <w:lang w:val="en-US" w:eastAsia="zh-CN"/>
        </w:rPr>
        <w:t>团体</w:t>
      </w:r>
      <w:r>
        <w:rPr>
          <w:rFonts w:hint="eastAsia" w:ascii="宋体" w:hAnsi="宋体" w:eastAsia="宋体" w:cs="宋体"/>
          <w:sz w:val="24"/>
          <w:szCs w:val="24"/>
          <w:highlight w:val="none"/>
        </w:rPr>
        <w:t>标准《</w:t>
      </w:r>
      <w:r>
        <w:rPr>
          <w:rFonts w:hint="eastAsia" w:ascii="宋体" w:hAnsi="宋体" w:eastAsia="宋体" w:cs="宋体"/>
          <w:sz w:val="24"/>
          <w:szCs w:val="24"/>
          <w:highlight w:val="none"/>
          <w:lang w:val="en-US" w:eastAsia="zh-CN"/>
        </w:rPr>
        <w:t>导轨式胶轮系统行车组织管理规范</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3. </w:t>
      </w:r>
      <w:r>
        <w:rPr>
          <w:rFonts w:hint="eastAsia" w:ascii="宋体" w:hAnsi="宋体" w:eastAsia="宋体" w:cs="宋体"/>
          <w:sz w:val="24"/>
          <w:szCs w:val="24"/>
          <w:highlight w:val="none"/>
          <w:lang w:val="en-US" w:eastAsia="zh-CN"/>
        </w:rPr>
        <w:t>编制标准大纲</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2022年6月，</w:t>
      </w:r>
      <w:r>
        <w:rPr>
          <w:rFonts w:hint="eastAsia" w:ascii="宋体" w:hAnsi="宋体" w:eastAsia="宋体" w:cs="宋体"/>
          <w:sz w:val="24"/>
          <w:szCs w:val="24"/>
          <w:highlight w:val="none"/>
          <w:lang w:val="en-US" w:eastAsia="zh-CN"/>
        </w:rPr>
        <w:t>编制</w:t>
      </w:r>
      <w:r>
        <w:rPr>
          <w:rFonts w:hint="eastAsia" w:ascii="宋体" w:hAnsi="宋体" w:eastAsia="宋体" w:cs="宋体"/>
          <w:sz w:val="24"/>
          <w:szCs w:val="24"/>
          <w:highlight w:val="none"/>
          <w:lang w:val="en-US" w:eastAsia="zh-CN"/>
        </w:rPr>
        <w:t>组召开标准编制工作会议</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确定了</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lang w:val="en-US" w:eastAsia="zh-CN"/>
        </w:rPr>
        <w:t>编制计划和工作方案，确定标准编制分工，讨论初稿目录、章节、内容等；完成</w:t>
      </w:r>
      <w:r>
        <w:rPr>
          <w:rFonts w:hint="eastAsia" w:ascii="宋体" w:hAnsi="宋体" w:eastAsia="宋体" w:cs="宋体"/>
          <w:sz w:val="24"/>
          <w:szCs w:val="24"/>
          <w:highlight w:val="none"/>
          <w:lang w:val="en-US" w:eastAsia="zh-CN"/>
        </w:rPr>
        <w:t>了标准</w:t>
      </w:r>
      <w:r>
        <w:rPr>
          <w:rFonts w:hint="eastAsia" w:ascii="宋体" w:hAnsi="宋体" w:eastAsia="宋体" w:cs="宋体"/>
          <w:sz w:val="24"/>
          <w:szCs w:val="24"/>
          <w:highlight w:val="none"/>
          <w:lang w:val="en-US" w:eastAsia="zh-CN"/>
        </w:rPr>
        <w:t>大纲。</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4. </w:t>
      </w:r>
      <w:r>
        <w:rPr>
          <w:rFonts w:hint="eastAsia" w:ascii="宋体" w:hAnsi="宋体" w:eastAsia="宋体" w:cs="宋体"/>
          <w:sz w:val="24"/>
          <w:szCs w:val="24"/>
          <w:highlight w:val="none"/>
          <w:lang w:val="en-US" w:eastAsia="zh-CN"/>
        </w:rPr>
        <w:t>编制标准草案</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2022年6月～7月，</w:t>
      </w:r>
      <w:r>
        <w:rPr>
          <w:rFonts w:hint="eastAsia" w:ascii="宋体" w:hAnsi="宋体" w:eastAsia="宋体" w:cs="宋体"/>
          <w:sz w:val="24"/>
          <w:szCs w:val="24"/>
          <w:highlight w:val="none"/>
          <w:lang w:val="en-US" w:eastAsia="zh-CN"/>
        </w:rPr>
        <w:t>编制组</w:t>
      </w:r>
      <w:r>
        <w:rPr>
          <w:rFonts w:hint="eastAsia" w:ascii="宋体" w:hAnsi="宋体" w:eastAsia="宋体" w:cs="宋体"/>
          <w:sz w:val="24"/>
          <w:szCs w:val="24"/>
          <w:highlight w:val="none"/>
          <w:lang w:val="en-US" w:eastAsia="zh-CN"/>
        </w:rPr>
        <w:t>召开了标准草案编制工作推进会。编制过程中，各成员单位积极编写，先后多次召开了编制专题讨论会，与导轨式胶轮系统技术研发部门充分研讨、多次核查技术要求和技术水平，确保行车组织管理相关的技术难点问题有效解决，并于2022年7月编制形成了标准草案。</w:t>
      </w:r>
    </w:p>
    <w:p>
      <w:pPr>
        <w:tabs>
          <w:tab w:val="left" w:pos="720"/>
        </w:tabs>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5. </w:t>
      </w:r>
      <w:r>
        <w:rPr>
          <w:rFonts w:hint="eastAsia" w:ascii="宋体" w:hAnsi="宋体" w:eastAsia="宋体" w:cs="宋体"/>
          <w:sz w:val="24"/>
          <w:szCs w:val="24"/>
          <w:highlight w:val="none"/>
          <w:lang w:val="en-US" w:eastAsia="zh-CN"/>
        </w:rPr>
        <w:t>形成</w:t>
      </w:r>
      <w:r>
        <w:rPr>
          <w:rFonts w:hint="eastAsia" w:ascii="宋体" w:hAnsi="宋体" w:eastAsia="宋体" w:cs="宋体"/>
          <w:sz w:val="24"/>
          <w:szCs w:val="24"/>
          <w:highlight w:val="none"/>
          <w:lang w:val="en-US" w:eastAsia="zh-CN"/>
        </w:rPr>
        <w:t>征求意见</w:t>
      </w:r>
      <w:r>
        <w:rPr>
          <w:rFonts w:hint="eastAsia" w:ascii="宋体" w:hAnsi="宋体" w:eastAsia="宋体" w:cs="宋体"/>
          <w:sz w:val="24"/>
          <w:szCs w:val="24"/>
          <w:highlight w:val="none"/>
          <w:lang w:val="en-US" w:eastAsia="zh-CN"/>
        </w:rPr>
        <w:t>稿</w:t>
      </w:r>
    </w:p>
    <w:p>
      <w:pPr>
        <w:tabs>
          <w:tab w:val="left" w:pos="720"/>
        </w:tabs>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2022年7月，</w:t>
      </w:r>
      <w:r>
        <w:rPr>
          <w:rFonts w:hint="eastAsia" w:ascii="宋体" w:hAnsi="宋体" w:eastAsia="宋体" w:cs="宋体"/>
          <w:sz w:val="24"/>
          <w:szCs w:val="24"/>
          <w:highlight w:val="none"/>
          <w:lang w:val="en-US" w:eastAsia="zh-CN"/>
        </w:rPr>
        <w:t>编制组经过多轮讨论修改，形成了标准征求意见稿，并编写了标准征求意见稿编制说明</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Times New Roman" w:hAnsi="Times New Roman" w:eastAsia="宋体" w:cs="Times New Roman"/>
          <w:b/>
          <w:sz w:val="28"/>
          <w:szCs w:val="28"/>
          <w:lang w:eastAsia="zh-CN"/>
        </w:rPr>
      </w:pPr>
      <w:bookmarkStart w:id="3" w:name="_Toc13014"/>
      <w:r>
        <w:rPr>
          <w:rFonts w:ascii="Times New Roman" w:hAnsi="Times New Roman" w:eastAsia="宋体" w:cs="Times New Roman"/>
          <w:b/>
          <w:sz w:val="28"/>
          <w:szCs w:val="28"/>
        </w:rPr>
        <w:t>四、国内</w:t>
      </w:r>
      <w:r>
        <w:rPr>
          <w:rFonts w:hint="eastAsia" w:ascii="Times New Roman" w:hAnsi="Times New Roman" w:eastAsia="宋体" w:cs="Times New Roman"/>
          <w:b/>
          <w:sz w:val="28"/>
          <w:szCs w:val="28"/>
          <w:lang w:val="en-US" w:eastAsia="zh-CN"/>
        </w:rPr>
        <w:t>外</w:t>
      </w:r>
      <w:r>
        <w:rPr>
          <w:rFonts w:ascii="Times New Roman" w:hAnsi="Times New Roman" w:eastAsia="宋体" w:cs="Times New Roman"/>
          <w:b/>
          <w:sz w:val="28"/>
          <w:szCs w:val="28"/>
        </w:rPr>
        <w:t>相关</w:t>
      </w:r>
      <w:r>
        <w:rPr>
          <w:rFonts w:hint="eastAsia" w:ascii="Times New Roman" w:hAnsi="Times New Roman" w:eastAsia="宋体" w:cs="Times New Roman"/>
          <w:b/>
          <w:sz w:val="28"/>
          <w:szCs w:val="28"/>
          <w:lang w:val="en-US" w:eastAsia="zh-CN"/>
        </w:rPr>
        <w:t>情况说明</w:t>
      </w:r>
      <w:bookmarkEnd w:id="3"/>
    </w:p>
    <w:p>
      <w:pPr>
        <w:tabs>
          <w:tab w:val="left" w:pos="720"/>
        </w:tabs>
        <w:spacing w:line="360" w:lineRule="auto"/>
        <w:ind w:firstLine="480" w:firstLineChars="200"/>
        <w:rPr>
          <w:rFonts w:hint="eastAsia" w:ascii="宋体" w:hAnsi="宋体" w:eastAsia="宋体" w:cs="宋体"/>
          <w:sz w:val="24"/>
          <w:szCs w:val="24"/>
          <w:lang w:val="en-US" w:eastAsia="zh-CN"/>
        </w:rPr>
      </w:pPr>
      <w:bookmarkStart w:id="4" w:name="_Toc74140570"/>
      <w:r>
        <w:rPr>
          <w:rFonts w:hint="eastAsia" w:ascii="宋体" w:hAnsi="宋体" w:eastAsia="宋体" w:cs="宋体"/>
          <w:sz w:val="24"/>
          <w:szCs w:val="24"/>
          <w:lang w:val="en-US" w:eastAsia="zh-CN"/>
        </w:rPr>
        <w:t>目前国内外城市轨道交通行业尚无针对导轨式胶轮系统行车组织管理的相关标准，迫切需要制定相关标准，保证导轨式胶轮系统行车组织管理工作科学合理、有据可依，保障线路的行车安全。国内</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轨道交通行车管理相关情况如下：</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2008年，国家将城市轨道交通指导运营的职能划入交通运输部。交通运输部高度重视轨道交通标准制定，积极筹备建立了“全国城市客运标准化技术委员会”，并编制了《2013—2015年城市客运重点标准制修订计划》，用三年时间制定和修订国标和行标60多项。</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2013年，</w:t>
      </w:r>
      <w:r>
        <w:rPr>
          <w:rFonts w:hint="eastAsia" w:ascii="宋体" w:hAnsi="宋体" w:eastAsia="宋体" w:cs="宋体"/>
          <w:sz w:val="24"/>
          <w:szCs w:val="24"/>
          <w:lang w:val="en-US" w:eastAsia="zh-CN"/>
        </w:rPr>
        <w:t>国家标准化管理委员会</w:t>
      </w:r>
      <w:r>
        <w:rPr>
          <w:rFonts w:hint="eastAsia" w:ascii="宋体" w:hAnsi="宋体" w:eastAsia="宋体" w:cs="宋体"/>
          <w:sz w:val="24"/>
          <w:szCs w:val="24"/>
          <w:lang w:val="en-US" w:eastAsia="zh-CN"/>
        </w:rPr>
        <w:t>发布《城市轨道交通运营管理规范》（GB/T 30012</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2013）和《城市轨道交通试运营基本条件》（GB/T 30013</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2018年，国务院办公厅下发了《关于保障城市轨道交通安全运行的意见》（国办发〔2018〕13号），交通运输部发布了《城市轨道交通运营管理规定》（交通运输部令</w:t>
      </w:r>
      <w:r>
        <w:rPr>
          <w:rFonts w:hint="eastAsia" w:ascii="宋体" w:hAnsi="宋体" w:eastAsia="宋体" w:cs="宋体"/>
          <w:sz w:val="24"/>
          <w:szCs w:val="24"/>
        </w:rPr>
        <w:t>2018年第8号</w:t>
      </w:r>
      <w:r>
        <w:rPr>
          <w:rFonts w:hint="eastAsia" w:ascii="宋体" w:hAnsi="宋体" w:eastAsia="宋体" w:cs="宋体"/>
          <w:sz w:val="24"/>
          <w:szCs w:val="24"/>
          <w:lang w:val="en-US" w:eastAsia="zh-CN"/>
        </w:rPr>
        <w:t>）。</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2018年，</w:t>
      </w:r>
      <w:r>
        <w:rPr>
          <w:rFonts w:hint="eastAsia" w:ascii="宋体" w:hAnsi="宋体" w:eastAsia="宋体" w:cs="宋体"/>
          <w:sz w:val="24"/>
          <w:szCs w:val="24"/>
        </w:rPr>
        <w:t>交通运输部</w:t>
      </w:r>
      <w:r>
        <w:rPr>
          <w:rFonts w:hint="eastAsia" w:ascii="宋体" w:hAnsi="宋体" w:eastAsia="宋体" w:cs="宋体"/>
          <w:sz w:val="24"/>
          <w:szCs w:val="24"/>
          <w:lang w:val="en-US" w:eastAsia="zh-CN"/>
        </w:rPr>
        <w:t>发布了《</w:t>
      </w:r>
      <w:r>
        <w:rPr>
          <w:rFonts w:hint="eastAsia" w:ascii="宋体" w:hAnsi="宋体" w:eastAsia="宋体" w:cs="宋体"/>
          <w:sz w:val="24"/>
          <w:szCs w:val="24"/>
        </w:rPr>
        <w:t>城市轨道交通行车组织规则</w:t>
      </w:r>
      <w:r>
        <w:rPr>
          <w:rFonts w:hint="eastAsia" w:ascii="宋体" w:hAnsi="宋体" w:eastAsia="宋体" w:cs="宋体"/>
          <w:sz w:val="24"/>
          <w:szCs w:val="24"/>
          <w:lang w:val="en-US" w:eastAsia="zh-CN"/>
        </w:rPr>
        <w:t>》</w:t>
      </w:r>
      <w:r>
        <w:rPr>
          <w:rFonts w:hint="eastAsia" w:ascii="宋体" w:hAnsi="宋体" w:eastAsia="宋体" w:cs="宋体"/>
          <w:b w:val="0"/>
          <w:bCs/>
          <w:sz w:val="24"/>
          <w:szCs w:val="24"/>
        </w:rPr>
        <w:t>JT/T 1185</w:t>
      </w:r>
      <w:r>
        <w:rPr>
          <w:rFonts w:hint="eastAsia" w:ascii="宋体" w:hAnsi="宋体" w:eastAsia="宋体" w:cs="宋体"/>
          <w:b w:val="0"/>
          <w:bCs/>
          <w:sz w:val="24"/>
          <w:szCs w:val="24"/>
          <w:lang w:val="en-US" w:eastAsia="zh-CN"/>
        </w:rPr>
        <w:t>。</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2019年，交通运输部印发《</w:t>
      </w:r>
      <w:r>
        <w:rPr>
          <w:rFonts w:hint="eastAsia" w:ascii="宋体" w:hAnsi="宋体" w:eastAsia="宋体" w:cs="宋体"/>
          <w:sz w:val="24"/>
          <w:szCs w:val="24"/>
        </w:rPr>
        <w:t>城市轨道交通行车组织管理办法</w:t>
      </w:r>
      <w:r>
        <w:rPr>
          <w:rFonts w:hint="eastAsia" w:ascii="宋体" w:hAnsi="宋体" w:eastAsia="宋体" w:cs="宋体"/>
          <w:sz w:val="24"/>
          <w:szCs w:val="24"/>
          <w:lang w:val="en-US" w:eastAsia="zh-CN"/>
        </w:rPr>
        <w:t>》（交运规〔2019〕14号），指导各地做好城市轨道交通行车组织管理工作，提升城市轨道交通安全管理水平，明确行车组织管理的有关技术要求。</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2020年，国家标准化管理委员会发布了《城市轨道交通运营技术规范》（GB/T 38707</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2020），规定了城市轨道交通设施设备运营技术需求和行车管理技术要求。</w:t>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Times New Roman" w:hAnsi="Times New Roman" w:eastAsia="宋体" w:cs="Times New Roman"/>
          <w:b/>
          <w:sz w:val="28"/>
          <w:szCs w:val="28"/>
          <w:lang w:val="en-US" w:eastAsia="zh-CN"/>
        </w:rPr>
      </w:pPr>
      <w:bookmarkStart w:id="5" w:name="_Toc26072"/>
      <w:r>
        <w:rPr>
          <w:rFonts w:hint="eastAsia" w:ascii="Times New Roman" w:hAnsi="Times New Roman" w:eastAsia="宋体" w:cs="Times New Roman"/>
          <w:b/>
          <w:sz w:val="28"/>
          <w:szCs w:val="28"/>
          <w:lang w:val="en-US" w:eastAsia="zh-CN"/>
        </w:rPr>
        <w:t>五、相关法律法规及标准情况说明</w:t>
      </w:r>
      <w:bookmarkEnd w:id="4"/>
      <w:bookmarkEnd w:id="5"/>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default" w:ascii="宋体" w:hAnsi="宋体" w:eastAsia="宋体" w:cs="宋体"/>
          <w:sz w:val="24"/>
          <w:szCs w:val="24"/>
        </w:rPr>
        <w:t>.</w:t>
      </w:r>
      <w:r>
        <w:rPr>
          <w:rFonts w:hint="default" w:ascii="宋体" w:hAnsi="宋体" w:eastAsia="宋体" w:cs="宋体"/>
          <w:sz w:val="24"/>
          <w:szCs w:val="24"/>
          <w:lang w:val="en-US"/>
        </w:rPr>
        <w:t xml:space="preserve"> </w:t>
      </w:r>
      <w:r>
        <w:rPr>
          <w:rFonts w:hint="eastAsia" w:ascii="宋体" w:hAnsi="宋体" w:eastAsia="宋体" w:cs="宋体"/>
          <w:sz w:val="24"/>
          <w:szCs w:val="24"/>
        </w:rPr>
        <w:t>导轨式胶轮系统属于城市轨道交通的一种小运量制式，与其</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相关的法律法规</w:t>
      </w:r>
      <w:r>
        <w:rPr>
          <w:rFonts w:hint="eastAsia" w:ascii="宋体" w:hAnsi="宋体" w:eastAsia="宋体" w:cs="宋体"/>
          <w:sz w:val="24"/>
          <w:szCs w:val="24"/>
          <w:lang w:val="en-US" w:eastAsia="zh-CN"/>
        </w:rPr>
        <w:t>及标准</w:t>
      </w:r>
      <w:r>
        <w:rPr>
          <w:rFonts w:hint="eastAsia" w:ascii="宋体" w:hAnsi="宋体" w:eastAsia="宋体" w:cs="宋体"/>
          <w:sz w:val="24"/>
          <w:szCs w:val="24"/>
        </w:rPr>
        <w:t>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）《城市轨道交通运营管理规定》（交通运输部令2018年第8号）</w:t>
      </w:r>
    </w:p>
    <w:p>
      <w:pPr>
        <w:spacing w:line="360" w:lineRule="auto"/>
        <w:ind w:firstLine="480" w:firstLineChars="200"/>
        <w:outlineLvl w:val="1"/>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）《城市轨道交通行车组织规则》JT/T 1185</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）《城市轨道交通行车组织管理办法》（</w:t>
      </w:r>
      <w:r>
        <w:rPr>
          <w:rFonts w:hint="eastAsia" w:ascii="宋体" w:hAnsi="宋体" w:eastAsia="宋体" w:cs="宋体"/>
          <w:sz w:val="24"/>
          <w:szCs w:val="24"/>
          <w:lang w:val="en-US" w:eastAsia="zh-CN"/>
        </w:rPr>
        <w:t>交运规〔2019〕14号</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本项目符合以上法律法规</w:t>
      </w:r>
      <w:r>
        <w:rPr>
          <w:rFonts w:hint="eastAsia" w:ascii="宋体" w:hAnsi="宋体" w:eastAsia="宋体" w:cs="宋体"/>
          <w:sz w:val="24"/>
          <w:szCs w:val="24"/>
          <w:lang w:val="en-US" w:eastAsia="zh-CN"/>
        </w:rPr>
        <w:t>及标准</w:t>
      </w:r>
      <w:r>
        <w:rPr>
          <w:rFonts w:hint="eastAsia" w:ascii="宋体" w:hAnsi="宋体" w:eastAsia="宋体" w:cs="宋体"/>
          <w:sz w:val="24"/>
          <w:szCs w:val="24"/>
        </w:rPr>
        <w:t>中对</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的要求。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 xml:space="preserve">. </w:t>
      </w:r>
      <w:r>
        <w:rPr>
          <w:rFonts w:hint="eastAsia" w:ascii="宋体" w:hAnsi="宋体" w:eastAsia="宋体" w:cs="宋体"/>
          <w:sz w:val="24"/>
          <w:szCs w:val="24"/>
        </w:rPr>
        <w:t>目前国内外尚无专门针对导轨式胶轮系统</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而编写的标准。因此，本项目在符合现有标准的基础上，制定适用于导轨式胶轮系统</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的标准，可为建立导轨式胶轮系统标准体系打下坚实基础，有助于完善</w:t>
      </w:r>
      <w:r>
        <w:rPr>
          <w:rFonts w:hint="eastAsia" w:ascii="宋体" w:hAnsi="宋体" w:eastAsia="宋体" w:cs="宋体"/>
          <w:sz w:val="24"/>
          <w:szCs w:val="24"/>
          <w:lang w:val="en-US" w:eastAsia="zh-CN"/>
        </w:rPr>
        <w:t>城市</w:t>
      </w:r>
      <w:r>
        <w:rPr>
          <w:rFonts w:hint="eastAsia" w:ascii="宋体" w:hAnsi="宋体" w:eastAsia="宋体" w:cs="宋体"/>
          <w:sz w:val="24"/>
          <w:szCs w:val="24"/>
        </w:rPr>
        <w:t>轨道交通标准体系，保证导轨式胶轮系统线路</w:t>
      </w:r>
      <w:r>
        <w:rPr>
          <w:rFonts w:hint="eastAsia" w:ascii="宋体" w:hAnsi="宋体" w:eastAsia="宋体" w:cs="宋体"/>
          <w:sz w:val="24"/>
          <w:szCs w:val="24"/>
          <w:lang w:val="en-US" w:eastAsia="zh-CN"/>
        </w:rPr>
        <w:t>安全、规范运营</w:t>
      </w:r>
      <w:r>
        <w:rPr>
          <w:rFonts w:hint="eastAsia" w:ascii="宋体" w:hAnsi="宋体" w:eastAsia="宋体" w:cs="宋体"/>
          <w:sz w:val="24"/>
          <w:szCs w:val="24"/>
        </w:rPr>
        <w:t>。</w:t>
      </w:r>
    </w:p>
    <w:p>
      <w:pPr>
        <w:outlineLvl w:val="0"/>
        <w:rPr>
          <w:rFonts w:ascii="Times New Roman" w:hAnsi="Times New Roman" w:eastAsia="宋体" w:cs="Times New Roman"/>
          <w:b/>
          <w:sz w:val="28"/>
          <w:szCs w:val="28"/>
        </w:rPr>
      </w:pPr>
      <w:bookmarkStart w:id="6" w:name="_Toc19069"/>
      <w:r>
        <w:rPr>
          <w:rFonts w:hint="eastAsia" w:ascii="Times New Roman" w:hAnsi="Times New Roman" w:eastAsia="宋体" w:cs="Times New Roman"/>
          <w:b/>
          <w:sz w:val="28"/>
          <w:szCs w:val="28"/>
          <w:lang w:val="en-US" w:eastAsia="zh-CN"/>
        </w:rPr>
        <w:t>六</w:t>
      </w:r>
      <w:r>
        <w:rPr>
          <w:rFonts w:ascii="Times New Roman" w:hAnsi="Times New Roman" w:eastAsia="宋体" w:cs="Times New Roman"/>
          <w:b/>
          <w:sz w:val="28"/>
          <w:szCs w:val="28"/>
        </w:rPr>
        <w:t>、编制内容及说明</w:t>
      </w:r>
      <w:bookmarkEnd w:id="6"/>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编制组</w:t>
      </w:r>
      <w:r>
        <w:rPr>
          <w:rFonts w:ascii="Times New Roman" w:hAnsi="Times New Roman" w:eastAsia="宋体" w:cs="Times New Roman"/>
          <w:sz w:val="24"/>
          <w:szCs w:val="24"/>
        </w:rPr>
        <w:t>以</w:t>
      </w:r>
      <w:r>
        <w:rPr>
          <w:rFonts w:hint="eastAsia" w:ascii="Times New Roman" w:hAnsi="Times New Roman" w:eastAsia="宋体" w:cs="Times New Roman"/>
          <w:sz w:val="24"/>
          <w:szCs w:val="24"/>
        </w:rPr>
        <w:t>导轨式胶轮</w:t>
      </w:r>
      <w:r>
        <w:rPr>
          <w:rFonts w:ascii="Times New Roman" w:hAnsi="Times New Roman" w:eastAsia="宋体" w:cs="Times New Roman"/>
          <w:sz w:val="24"/>
          <w:szCs w:val="24"/>
        </w:rPr>
        <w:t>系统特点为基础，对标国内相关标准，经多轮编写和讨论</w:t>
      </w:r>
      <w:r>
        <w:rPr>
          <w:rFonts w:hint="eastAsia" w:ascii="Times New Roman" w:hAnsi="Times New Roman" w:eastAsia="宋体" w:cs="Times New Roman"/>
          <w:sz w:val="24"/>
          <w:szCs w:val="24"/>
        </w:rPr>
        <w:t>，</w:t>
      </w:r>
      <w:r>
        <w:rPr>
          <w:rFonts w:ascii="Times New Roman" w:hAnsi="Times New Roman" w:eastAsia="宋体" w:cs="Times New Roman"/>
          <w:sz w:val="24"/>
          <w:szCs w:val="24"/>
        </w:rPr>
        <w:t>形成《</w:t>
      </w:r>
      <w:r>
        <w:rPr>
          <w:rFonts w:hint="eastAsia" w:ascii="Times New Roman" w:hAnsi="Times New Roman" w:eastAsia="宋体" w:cs="Times New Roman"/>
          <w:sz w:val="24"/>
          <w:szCs w:val="24"/>
        </w:rPr>
        <w:t>导轨式胶轮</w:t>
      </w:r>
      <w:r>
        <w:rPr>
          <w:rFonts w:ascii="Times New Roman" w:hAnsi="Times New Roman" w:eastAsia="宋体" w:cs="Times New Roman"/>
          <w:sz w:val="24"/>
          <w:szCs w:val="24"/>
        </w:rPr>
        <w:t>系统</w:t>
      </w:r>
      <w:r>
        <w:rPr>
          <w:rFonts w:hint="default" w:ascii="Times New Roman" w:hAnsi="Times New Roman" w:eastAsia="宋体" w:cs="Times New Roman"/>
          <w:sz w:val="24"/>
          <w:szCs w:val="24"/>
          <w:lang w:val="en-US"/>
        </w:rPr>
        <w:t>行车组织管理规范</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团体标准征求意见</w:t>
      </w:r>
      <w:r>
        <w:rPr>
          <w:rFonts w:ascii="Times New Roman" w:hAnsi="Times New Roman" w:eastAsia="宋体" w:cs="Times New Roman"/>
          <w:sz w:val="24"/>
          <w:szCs w:val="24"/>
        </w:rPr>
        <w:t>稿。</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本标准共分</w:t>
      </w:r>
      <w:r>
        <w:rPr>
          <w:rFonts w:hint="eastAsia" w:ascii="宋体" w:hAnsi="宋体" w:eastAsia="宋体" w:cs="宋体"/>
          <w:sz w:val="24"/>
          <w:szCs w:val="24"/>
          <w:lang w:val="en-US" w:eastAsia="zh-CN"/>
        </w:rPr>
        <w:t>10</w:t>
      </w:r>
      <w:r>
        <w:rPr>
          <w:rFonts w:hint="eastAsia" w:ascii="宋体" w:hAnsi="宋体" w:eastAsia="宋体" w:cs="宋体"/>
          <w:sz w:val="24"/>
          <w:szCs w:val="24"/>
        </w:rPr>
        <w:t>章，主要内容包括范围、规范性引用文件、术语和定义、</w:t>
      </w:r>
      <w:r>
        <w:rPr>
          <w:rFonts w:hint="eastAsia" w:ascii="宋体" w:hAnsi="宋体" w:eastAsia="宋体" w:cs="宋体"/>
          <w:sz w:val="24"/>
          <w:szCs w:val="24"/>
          <w:lang w:val="en-US" w:eastAsia="zh-CN"/>
        </w:rPr>
        <w:t>基本</w:t>
      </w:r>
      <w:r>
        <w:rPr>
          <w:rFonts w:hint="eastAsia" w:ascii="宋体" w:hAnsi="宋体" w:eastAsia="宋体" w:cs="宋体"/>
          <w:sz w:val="24"/>
          <w:szCs w:val="24"/>
        </w:rPr>
        <w:t>要求、</w:t>
      </w:r>
      <w:r>
        <w:rPr>
          <w:rFonts w:hint="eastAsia" w:ascii="宋体" w:hAnsi="宋体" w:eastAsia="宋体" w:cs="宋体"/>
          <w:sz w:val="24"/>
          <w:szCs w:val="24"/>
          <w:lang w:val="en-US" w:eastAsia="zh-CN"/>
        </w:rPr>
        <w:t>设备设施、正常情况下</w:t>
      </w:r>
      <w:r>
        <w:rPr>
          <w:rFonts w:hint="eastAsia" w:ascii="宋体" w:hAnsi="宋体" w:eastAsia="宋体" w:cs="宋体"/>
          <w:sz w:val="24"/>
          <w:szCs w:val="24"/>
          <w:lang w:val="en-US" w:eastAsia="zh-CN"/>
        </w:rPr>
        <w:t>的</w:t>
      </w:r>
      <w:r>
        <w:rPr>
          <w:rFonts w:hint="eastAsia" w:ascii="宋体" w:hAnsi="宋体" w:eastAsia="宋体" w:cs="宋体"/>
          <w:sz w:val="24"/>
          <w:szCs w:val="24"/>
        </w:rPr>
        <w:t>行车组织、</w:t>
      </w:r>
      <w:r>
        <w:rPr>
          <w:rFonts w:hint="eastAsia" w:ascii="宋体" w:hAnsi="宋体" w:eastAsia="宋体" w:cs="宋体"/>
          <w:sz w:val="24"/>
          <w:szCs w:val="24"/>
          <w:lang w:val="en-US" w:eastAsia="zh-CN"/>
        </w:rPr>
        <w:t>非正常情况下</w:t>
      </w:r>
      <w:r>
        <w:rPr>
          <w:rFonts w:hint="eastAsia" w:ascii="宋体" w:hAnsi="宋体" w:eastAsia="宋体" w:cs="宋体"/>
          <w:sz w:val="24"/>
          <w:szCs w:val="24"/>
          <w:lang w:val="en-US" w:eastAsia="zh-CN"/>
        </w:rPr>
        <w:t>的</w:t>
      </w:r>
      <w:r>
        <w:rPr>
          <w:rFonts w:hint="eastAsia" w:ascii="宋体" w:hAnsi="宋体" w:eastAsia="宋体" w:cs="宋体"/>
          <w:sz w:val="24"/>
          <w:szCs w:val="24"/>
          <w:lang w:val="en-US" w:eastAsia="zh-CN"/>
        </w:rPr>
        <w:t>行车组织</w:t>
      </w:r>
      <w:r>
        <w:rPr>
          <w:rFonts w:hint="eastAsia" w:ascii="宋体" w:hAnsi="宋体" w:eastAsia="宋体" w:cs="宋体"/>
          <w:sz w:val="24"/>
          <w:szCs w:val="24"/>
        </w:rPr>
        <w:t>、</w:t>
      </w:r>
      <w:r>
        <w:rPr>
          <w:rFonts w:hint="eastAsia" w:ascii="宋体" w:hAnsi="宋体" w:eastAsia="宋体" w:cs="宋体"/>
          <w:sz w:val="24"/>
          <w:szCs w:val="24"/>
          <w:lang w:val="en-US" w:eastAsia="zh-CN"/>
        </w:rPr>
        <w:t>运营施工组织</w:t>
      </w:r>
      <w:r>
        <w:rPr>
          <w:rFonts w:hint="eastAsia" w:ascii="宋体" w:hAnsi="宋体" w:eastAsia="宋体" w:cs="宋体"/>
          <w:sz w:val="24"/>
          <w:szCs w:val="24"/>
        </w:rPr>
        <w:t>、</w:t>
      </w:r>
      <w:r>
        <w:rPr>
          <w:rFonts w:hint="eastAsia" w:ascii="宋体" w:hAnsi="宋体" w:eastAsia="宋体" w:cs="宋体"/>
          <w:sz w:val="24"/>
          <w:szCs w:val="24"/>
          <w:lang w:val="en-US" w:eastAsia="zh-CN"/>
        </w:rPr>
        <w:t>信号显示</w:t>
      </w:r>
      <w:r>
        <w:rPr>
          <w:rFonts w:hint="eastAsia" w:ascii="宋体" w:hAnsi="宋体" w:eastAsia="宋体" w:cs="宋体"/>
          <w:sz w:val="24"/>
          <w:szCs w:val="24"/>
        </w:rPr>
        <w:t>、</w:t>
      </w:r>
      <w:r>
        <w:rPr>
          <w:rFonts w:hint="eastAsia" w:ascii="宋体" w:hAnsi="宋体" w:eastAsia="宋体" w:cs="宋体"/>
          <w:sz w:val="24"/>
          <w:szCs w:val="24"/>
          <w:lang w:val="en-US" w:eastAsia="zh-CN"/>
        </w:rPr>
        <w:t>运行及服务关键指标</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本标准主要内容说明如下：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明确本标准适用于最高速度不超过80km/h，运输能力小于1万人次/h的低运能城市轨道交通系统中的独立路权的导轨式胶轮系统的全自动运行线路的</w:t>
      </w:r>
      <w:r>
        <w:rPr>
          <w:rFonts w:hint="eastAsia" w:ascii="宋体" w:hAnsi="宋体" w:eastAsia="宋体" w:cs="宋体"/>
          <w:sz w:val="24"/>
          <w:szCs w:val="24"/>
          <w:lang w:val="en-US" w:eastAsia="zh-CN"/>
        </w:rPr>
        <w:t>行车组织管理</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提出</w:t>
      </w:r>
      <w:r>
        <w:rPr>
          <w:rFonts w:hint="eastAsia" w:ascii="宋体" w:hAnsi="宋体" w:eastAsia="宋体" w:cs="宋体"/>
          <w:sz w:val="24"/>
          <w:szCs w:val="24"/>
          <w:lang w:val="en-US" w:eastAsia="zh-CN"/>
        </w:rPr>
        <w:t>行车组织一般要求</w:t>
      </w:r>
      <w:r>
        <w:rPr>
          <w:rFonts w:hint="eastAsia" w:ascii="宋体" w:hAnsi="宋体" w:eastAsia="宋体" w:cs="宋体"/>
          <w:sz w:val="24"/>
          <w:szCs w:val="24"/>
        </w:rPr>
        <w:t>、</w:t>
      </w:r>
      <w:r>
        <w:rPr>
          <w:rFonts w:hint="eastAsia" w:ascii="宋体" w:hAnsi="宋体" w:eastAsia="宋体" w:cs="宋体"/>
          <w:sz w:val="24"/>
          <w:szCs w:val="24"/>
          <w:lang w:val="en-US" w:eastAsia="zh-CN"/>
        </w:rPr>
        <w:t>列车运行计划、调度指挥</w:t>
      </w:r>
      <w:r>
        <w:rPr>
          <w:rFonts w:hint="eastAsia" w:ascii="宋体" w:hAnsi="宋体" w:eastAsia="宋体" w:cs="宋体"/>
          <w:sz w:val="24"/>
          <w:szCs w:val="24"/>
        </w:rPr>
        <w:t>机构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调度命令、行车</w:t>
      </w:r>
      <w:r>
        <w:rPr>
          <w:rFonts w:hint="eastAsia" w:ascii="宋体" w:hAnsi="宋体" w:eastAsia="宋体" w:cs="宋体"/>
          <w:sz w:val="24"/>
          <w:szCs w:val="24"/>
        </w:rPr>
        <w:t>组织</w:t>
      </w:r>
      <w:r>
        <w:rPr>
          <w:rFonts w:hint="eastAsia" w:ascii="宋体" w:hAnsi="宋体" w:eastAsia="宋体" w:cs="宋体"/>
          <w:sz w:val="24"/>
          <w:szCs w:val="24"/>
          <w:lang w:val="en-US" w:eastAsia="zh-CN"/>
        </w:rPr>
        <w:t>方法</w:t>
      </w:r>
      <w:r>
        <w:rPr>
          <w:rFonts w:hint="eastAsia" w:ascii="宋体" w:hAnsi="宋体" w:eastAsia="宋体" w:cs="宋体"/>
          <w:sz w:val="24"/>
          <w:szCs w:val="24"/>
        </w:rPr>
        <w:t>、</w:t>
      </w:r>
      <w:r>
        <w:rPr>
          <w:rFonts w:hint="eastAsia" w:ascii="宋体" w:hAnsi="宋体" w:eastAsia="宋体" w:cs="宋体"/>
          <w:sz w:val="24"/>
          <w:szCs w:val="24"/>
          <w:lang w:val="en-US" w:eastAsia="zh-CN"/>
        </w:rPr>
        <w:t>列车运行</w:t>
      </w:r>
      <w:r>
        <w:rPr>
          <w:rFonts w:hint="eastAsia" w:ascii="宋体" w:hAnsi="宋体" w:eastAsia="宋体" w:cs="宋体"/>
          <w:sz w:val="24"/>
          <w:szCs w:val="24"/>
        </w:rPr>
        <w:t>、</w:t>
      </w:r>
      <w:r>
        <w:rPr>
          <w:rFonts w:hint="eastAsia" w:ascii="宋体" w:hAnsi="宋体" w:eastAsia="宋体" w:cs="宋体"/>
          <w:sz w:val="24"/>
          <w:szCs w:val="24"/>
          <w:lang w:val="en-US" w:eastAsia="zh-CN"/>
        </w:rPr>
        <w:t>行车记录</w:t>
      </w:r>
      <w:r>
        <w:rPr>
          <w:rFonts w:hint="eastAsia" w:ascii="宋体" w:hAnsi="宋体" w:eastAsia="宋体" w:cs="宋体"/>
          <w:sz w:val="24"/>
          <w:szCs w:val="24"/>
        </w:rPr>
        <w:t>等</w:t>
      </w:r>
      <w:r>
        <w:rPr>
          <w:rFonts w:hint="eastAsia" w:ascii="宋体" w:hAnsi="宋体" w:eastAsia="宋体" w:cs="宋体"/>
          <w:sz w:val="24"/>
          <w:szCs w:val="24"/>
          <w:lang w:val="en-US" w:eastAsia="zh-CN"/>
        </w:rPr>
        <w:t>一般</w:t>
      </w:r>
      <w:r>
        <w:rPr>
          <w:rFonts w:hint="eastAsia" w:ascii="宋体" w:hAnsi="宋体" w:eastAsia="宋体" w:cs="宋体"/>
          <w:sz w:val="24"/>
          <w:szCs w:val="24"/>
        </w:rPr>
        <w:t>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提出</w:t>
      </w:r>
      <w:r>
        <w:rPr>
          <w:rFonts w:hint="eastAsia" w:ascii="宋体" w:hAnsi="宋体" w:eastAsia="宋体" w:cs="宋体"/>
          <w:sz w:val="24"/>
          <w:szCs w:val="24"/>
          <w:lang w:val="en-US" w:eastAsia="zh-CN"/>
        </w:rPr>
        <w:t>设备设施、</w:t>
      </w:r>
      <w:r>
        <w:rPr>
          <w:rFonts w:hint="eastAsia" w:ascii="宋体" w:hAnsi="宋体" w:eastAsia="宋体" w:cs="宋体"/>
          <w:sz w:val="24"/>
          <w:szCs w:val="24"/>
        </w:rPr>
        <w:t>行车组织、</w:t>
      </w:r>
      <w:r>
        <w:rPr>
          <w:rFonts w:hint="eastAsia" w:ascii="宋体" w:hAnsi="宋体" w:eastAsia="宋体" w:cs="宋体"/>
          <w:sz w:val="24"/>
          <w:szCs w:val="24"/>
          <w:lang w:val="en-US" w:eastAsia="zh-CN"/>
        </w:rPr>
        <w:t>运营前准备</w:t>
      </w:r>
      <w:r>
        <w:rPr>
          <w:rFonts w:hint="eastAsia" w:ascii="宋体" w:hAnsi="宋体" w:eastAsia="宋体" w:cs="宋体"/>
          <w:sz w:val="24"/>
          <w:szCs w:val="24"/>
        </w:rPr>
        <w:t>、</w:t>
      </w:r>
      <w:r>
        <w:rPr>
          <w:rFonts w:hint="eastAsia" w:ascii="宋体" w:hAnsi="宋体" w:eastAsia="宋体" w:cs="宋体"/>
          <w:sz w:val="24"/>
          <w:szCs w:val="24"/>
          <w:lang w:val="en-US" w:eastAsia="zh-CN"/>
        </w:rPr>
        <w:t>运营期间、运营结束、列车巡视</w:t>
      </w:r>
      <w:r>
        <w:rPr>
          <w:rFonts w:hint="eastAsia" w:ascii="宋体" w:hAnsi="宋体" w:eastAsia="宋体" w:cs="宋体"/>
          <w:sz w:val="24"/>
          <w:szCs w:val="24"/>
        </w:rPr>
        <w:t>、</w:t>
      </w:r>
      <w:r>
        <w:rPr>
          <w:rFonts w:hint="eastAsia" w:ascii="宋体" w:hAnsi="宋体" w:eastAsia="宋体" w:cs="宋体"/>
          <w:sz w:val="24"/>
          <w:szCs w:val="24"/>
          <w:lang w:val="en-US" w:eastAsia="zh-CN"/>
        </w:rPr>
        <w:t>车站巡视</w:t>
      </w:r>
      <w:r>
        <w:rPr>
          <w:rFonts w:hint="eastAsia" w:ascii="宋体" w:hAnsi="宋体" w:eastAsia="宋体" w:cs="宋体"/>
          <w:sz w:val="24"/>
          <w:szCs w:val="24"/>
        </w:rPr>
        <w:t>、</w:t>
      </w:r>
      <w:r>
        <w:rPr>
          <w:rFonts w:hint="eastAsia" w:ascii="宋体" w:hAnsi="宋体" w:eastAsia="宋体" w:cs="宋体"/>
          <w:sz w:val="24"/>
          <w:szCs w:val="24"/>
          <w:lang w:val="en-US" w:eastAsia="zh-CN"/>
        </w:rPr>
        <w:t>车场行车组织</w:t>
      </w:r>
      <w:r>
        <w:rPr>
          <w:rFonts w:hint="eastAsia" w:ascii="宋体" w:hAnsi="宋体" w:eastAsia="宋体" w:cs="宋体"/>
          <w:sz w:val="24"/>
          <w:szCs w:val="24"/>
        </w:rPr>
        <w:t>、</w:t>
      </w:r>
      <w:r>
        <w:rPr>
          <w:rFonts w:hint="eastAsia" w:ascii="宋体" w:hAnsi="宋体" w:eastAsia="宋体" w:cs="宋体"/>
          <w:sz w:val="24"/>
          <w:szCs w:val="24"/>
          <w:lang w:val="en-US" w:eastAsia="zh-CN"/>
        </w:rPr>
        <w:t>行车调整</w:t>
      </w:r>
      <w:r>
        <w:rPr>
          <w:rFonts w:hint="eastAsia" w:ascii="宋体" w:hAnsi="宋体" w:eastAsia="宋体" w:cs="宋体"/>
          <w:sz w:val="24"/>
          <w:szCs w:val="24"/>
        </w:rPr>
        <w:t>、</w:t>
      </w:r>
      <w:r>
        <w:rPr>
          <w:rFonts w:hint="eastAsia" w:ascii="宋体" w:hAnsi="宋体" w:eastAsia="宋体" w:cs="宋体"/>
          <w:sz w:val="24"/>
          <w:szCs w:val="24"/>
          <w:lang w:val="en-US" w:eastAsia="zh-CN"/>
        </w:rPr>
        <w:t>设备故障时的行车组织</w:t>
      </w:r>
      <w:r>
        <w:rPr>
          <w:rFonts w:hint="eastAsia" w:ascii="宋体" w:hAnsi="宋体" w:eastAsia="宋体" w:cs="宋体"/>
          <w:sz w:val="24"/>
          <w:szCs w:val="24"/>
        </w:rPr>
        <w:t>、</w:t>
      </w:r>
      <w:r>
        <w:rPr>
          <w:rFonts w:hint="eastAsia" w:ascii="宋体" w:hAnsi="宋体" w:eastAsia="宋体" w:cs="宋体"/>
          <w:sz w:val="24"/>
          <w:szCs w:val="24"/>
          <w:lang w:val="en-US" w:eastAsia="zh-CN"/>
        </w:rPr>
        <w:t>运营突发事件时的行车组织、施工组织</w:t>
      </w:r>
      <w:r>
        <w:rPr>
          <w:rFonts w:hint="eastAsia" w:ascii="宋体" w:hAnsi="宋体" w:eastAsia="宋体" w:cs="宋体"/>
          <w:sz w:val="24"/>
          <w:szCs w:val="24"/>
        </w:rPr>
        <w:t>、</w:t>
      </w:r>
      <w:r>
        <w:rPr>
          <w:rFonts w:hint="eastAsia" w:ascii="宋体" w:hAnsi="宋体" w:eastAsia="宋体" w:cs="宋体"/>
          <w:sz w:val="24"/>
          <w:szCs w:val="24"/>
          <w:lang w:val="en-US" w:eastAsia="zh-CN"/>
        </w:rPr>
        <w:t>设备设施抢修</w:t>
      </w:r>
      <w:r>
        <w:rPr>
          <w:rFonts w:hint="eastAsia" w:ascii="宋体" w:hAnsi="宋体" w:eastAsia="宋体" w:cs="宋体"/>
          <w:sz w:val="24"/>
          <w:szCs w:val="24"/>
        </w:rPr>
        <w:t>等一般要求。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对于行车组织的调度指挥，规定了运营控制中心的职责、岗位设置和岗位内容、调度指挥模式、组织行车、应急事件指挥处置、应急事件信息上报等要求。</w:t>
      </w:r>
    </w:p>
    <w:p>
      <w:pPr>
        <w:outlineLvl w:val="0"/>
        <w:rPr>
          <w:rFonts w:ascii="Times New Roman" w:hAnsi="Times New Roman" w:eastAsia="宋体" w:cs="Times New Roman"/>
          <w:b/>
          <w:sz w:val="28"/>
          <w:szCs w:val="28"/>
          <w:highlight w:val="none"/>
        </w:rPr>
      </w:pPr>
      <w:bookmarkStart w:id="7" w:name="_Toc28032"/>
      <w:r>
        <w:rPr>
          <w:rFonts w:hint="eastAsia" w:ascii="Times New Roman" w:hAnsi="Times New Roman" w:eastAsia="宋体" w:cs="Times New Roman"/>
          <w:b/>
          <w:sz w:val="28"/>
          <w:szCs w:val="28"/>
          <w:highlight w:val="none"/>
          <w:lang w:val="en-US" w:eastAsia="zh-CN"/>
        </w:rPr>
        <w:t>七</w:t>
      </w:r>
      <w:r>
        <w:rPr>
          <w:rFonts w:ascii="Times New Roman" w:hAnsi="Times New Roman" w:eastAsia="宋体" w:cs="Times New Roman"/>
          <w:b/>
          <w:sz w:val="28"/>
          <w:szCs w:val="28"/>
          <w:highlight w:val="none"/>
        </w:rPr>
        <w:t>、主要条文说明</w:t>
      </w:r>
      <w:bookmarkEnd w:id="7"/>
    </w:p>
    <w:p>
      <w:pPr>
        <w:numPr>
          <w:ilvl w:val="-1"/>
          <w:numId w:val="0"/>
        </w:numPr>
        <w:spacing w:line="360" w:lineRule="auto"/>
        <w:ind w:left="0" w:leftChars="0" w:firstLine="480" w:firstLineChars="200"/>
        <w:rPr>
          <w:rFonts w:hint="eastAsia" w:ascii="宋体" w:hAnsi="宋体" w:eastAsia="宋体" w:cs="宋体"/>
          <w:sz w:val="24"/>
          <w:szCs w:val="28"/>
          <w:lang w:val="en-US" w:eastAsia="zh-CN"/>
        </w:rPr>
      </w:pPr>
      <w:r>
        <w:rPr>
          <w:rFonts w:hint="default" w:ascii="宋体" w:hAnsi="宋体" w:eastAsia="宋体" w:cs="宋体"/>
          <w:sz w:val="24"/>
          <w:szCs w:val="28"/>
          <w:lang w:val="en-US" w:eastAsia="zh-CN"/>
        </w:rPr>
        <w:t xml:space="preserve">1. </w:t>
      </w:r>
      <w:r>
        <w:rPr>
          <w:rFonts w:hint="eastAsia" w:ascii="宋体" w:hAnsi="宋体" w:eastAsia="宋体" w:cs="宋体"/>
          <w:sz w:val="24"/>
          <w:szCs w:val="28"/>
          <w:lang w:val="en-US" w:eastAsia="zh-CN"/>
        </w:rPr>
        <w:t>范围</w:t>
      </w:r>
    </w:p>
    <w:p>
      <w:pPr>
        <w:spacing w:line="360" w:lineRule="auto"/>
        <w:ind w:firstLine="480"/>
        <w:rPr>
          <w:rFonts w:hint="eastAsia" w:ascii="宋体" w:hAnsi="宋体" w:eastAsia="宋体" w:cs="宋体"/>
          <w:kern w:val="2"/>
          <w:sz w:val="24"/>
          <w:szCs w:val="28"/>
          <w:highlight w:val="none"/>
          <w:lang w:val="en-US" w:eastAsia="zh-CN" w:bidi="ar-SA"/>
        </w:rPr>
      </w:pPr>
      <w:r>
        <w:rPr>
          <w:rFonts w:hint="eastAsia" w:ascii="宋体" w:hAnsi="宋体" w:eastAsia="宋体" w:cs="宋体"/>
          <w:kern w:val="2"/>
          <w:sz w:val="24"/>
          <w:szCs w:val="28"/>
          <w:highlight w:val="none"/>
          <w:lang w:val="en-US" w:eastAsia="zh-CN" w:bidi="ar-SA"/>
        </w:rPr>
        <w:t>本</w:t>
      </w:r>
      <w:r>
        <w:rPr>
          <w:rFonts w:hint="eastAsia" w:ascii="宋体" w:hAnsi="宋体" w:eastAsia="宋体" w:cs="宋体"/>
          <w:kern w:val="2"/>
          <w:sz w:val="24"/>
          <w:szCs w:val="28"/>
          <w:lang w:val="en-US" w:eastAsia="zh-CN" w:bidi="ar-SA"/>
        </w:rPr>
        <w:t>标</w:t>
      </w:r>
      <w:r>
        <w:rPr>
          <w:rFonts w:hint="eastAsia" w:ascii="宋体" w:hAnsi="宋体" w:eastAsia="宋体" w:cs="宋体"/>
          <w:kern w:val="2"/>
          <w:sz w:val="24"/>
          <w:szCs w:val="28"/>
          <w:highlight w:val="none"/>
          <w:lang w:val="en-US" w:eastAsia="zh-CN" w:bidi="ar-SA"/>
        </w:rPr>
        <w:t>准规定了导轨式胶轮系统行车组织的基本要求、设备设施、正常情况下</w:t>
      </w:r>
      <w:r>
        <w:rPr>
          <w:rFonts w:hint="eastAsia" w:ascii="宋体" w:hAnsi="宋体" w:eastAsia="宋体" w:cs="宋体"/>
          <w:kern w:val="2"/>
          <w:sz w:val="24"/>
          <w:szCs w:val="28"/>
          <w:lang w:val="en-US" w:eastAsia="zh-CN" w:bidi="ar-SA"/>
        </w:rPr>
        <w:t>的</w:t>
      </w:r>
      <w:r>
        <w:rPr>
          <w:rFonts w:hint="eastAsia" w:ascii="宋体" w:hAnsi="宋体" w:eastAsia="宋体" w:cs="宋体"/>
          <w:kern w:val="2"/>
          <w:sz w:val="24"/>
          <w:szCs w:val="28"/>
          <w:highlight w:val="none"/>
          <w:lang w:val="en-US" w:eastAsia="zh-CN" w:bidi="ar-SA"/>
        </w:rPr>
        <w:t>行车组织、非正常情况下</w:t>
      </w:r>
      <w:r>
        <w:rPr>
          <w:rFonts w:hint="eastAsia" w:ascii="宋体" w:hAnsi="宋体" w:eastAsia="宋体" w:cs="宋体"/>
          <w:kern w:val="2"/>
          <w:sz w:val="24"/>
          <w:szCs w:val="28"/>
          <w:lang w:val="en-US" w:eastAsia="zh-CN" w:bidi="ar-SA"/>
        </w:rPr>
        <w:t>的</w:t>
      </w:r>
      <w:r>
        <w:rPr>
          <w:rFonts w:hint="eastAsia" w:ascii="宋体" w:hAnsi="宋体" w:eastAsia="宋体" w:cs="宋体"/>
          <w:kern w:val="2"/>
          <w:sz w:val="24"/>
          <w:szCs w:val="28"/>
          <w:highlight w:val="none"/>
          <w:lang w:val="en-US" w:eastAsia="zh-CN" w:bidi="ar-SA"/>
        </w:rPr>
        <w:t>行车组织、运营施工组织、信号显示、运行及服务关键指标等要求。</w:t>
      </w:r>
    </w:p>
    <w:p>
      <w:pPr>
        <w:spacing w:line="360" w:lineRule="auto"/>
        <w:ind w:firstLine="480"/>
        <w:rPr>
          <w:rFonts w:hint="eastAsia" w:ascii="宋体" w:hAnsi="宋体" w:eastAsia="宋体" w:cs="宋体"/>
          <w:sz w:val="24"/>
          <w:szCs w:val="28"/>
          <w:highlight w:val="none"/>
        </w:rPr>
      </w:pPr>
      <w:r>
        <w:rPr>
          <w:rFonts w:hint="eastAsia" w:ascii="宋体" w:hAnsi="宋体" w:eastAsia="宋体" w:cs="宋体"/>
          <w:sz w:val="24"/>
          <w:szCs w:val="28"/>
          <w:highlight w:val="none"/>
        </w:rPr>
        <w:t>根据导轨式胶轮系统的特点，结合类似系统的运营经验，规定</w:t>
      </w:r>
      <w:r>
        <w:rPr>
          <w:rFonts w:hint="eastAsia" w:ascii="宋体" w:hAnsi="宋体" w:eastAsia="宋体" w:cs="宋体"/>
          <w:kern w:val="2"/>
          <w:sz w:val="24"/>
          <w:szCs w:val="28"/>
          <w:highlight w:val="none"/>
          <w:lang w:val="en-US" w:eastAsia="zh-CN" w:bidi="ar-SA"/>
        </w:rPr>
        <w:t>本</w:t>
      </w:r>
      <w:r>
        <w:rPr>
          <w:rFonts w:hint="eastAsia" w:ascii="宋体" w:hAnsi="宋体" w:eastAsia="宋体" w:cs="宋体"/>
          <w:kern w:val="2"/>
          <w:sz w:val="24"/>
          <w:szCs w:val="28"/>
          <w:lang w:val="en-US" w:eastAsia="zh-CN" w:bidi="ar-SA"/>
        </w:rPr>
        <w:t>标</w:t>
      </w:r>
      <w:r>
        <w:rPr>
          <w:rFonts w:hint="eastAsia" w:ascii="宋体" w:hAnsi="宋体" w:eastAsia="宋体" w:cs="宋体"/>
          <w:kern w:val="2"/>
          <w:sz w:val="24"/>
          <w:szCs w:val="28"/>
          <w:highlight w:val="none"/>
          <w:lang w:val="en-US" w:eastAsia="zh-CN" w:bidi="ar-SA"/>
        </w:rPr>
        <w:t>准适用于导轨式胶轮系统运营线路的行车组织工作</w:t>
      </w:r>
      <w:r>
        <w:rPr>
          <w:rFonts w:hint="eastAsia" w:ascii="宋体" w:hAnsi="宋体" w:eastAsia="宋体" w:cs="宋体"/>
          <w:sz w:val="24"/>
          <w:szCs w:val="28"/>
          <w:highlight w:val="none"/>
        </w:rPr>
        <w:t>。</w:t>
      </w:r>
    </w:p>
    <w:p>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本标准给出了</w:t>
      </w:r>
      <w:r>
        <w:rPr>
          <w:rFonts w:hint="eastAsia" w:ascii="宋体" w:hAnsi="宋体" w:eastAsia="宋体" w:cs="宋体"/>
          <w:sz w:val="24"/>
          <w:szCs w:val="28"/>
          <w:highlight w:val="none"/>
          <w:lang w:val="en-US" w:eastAsia="zh-CN"/>
        </w:rPr>
        <w:t>行车组织</w:t>
      </w:r>
      <w:r>
        <w:rPr>
          <w:rFonts w:hint="eastAsia" w:ascii="宋体" w:hAnsi="宋体" w:eastAsia="宋体" w:cs="宋体"/>
          <w:sz w:val="24"/>
          <w:szCs w:val="28"/>
          <w:highlight w:val="none"/>
        </w:rPr>
        <w:t>管理的一般原则和要求，不涉及具体运营流程，运营流程应由运营单位的管理文件进行规定。</w:t>
      </w:r>
    </w:p>
    <w:p>
      <w:pPr>
        <w:numPr>
          <w:ilvl w:val="0"/>
          <w:numId w:val="2"/>
        </w:numPr>
        <w:spacing w:line="360" w:lineRule="auto"/>
        <w:ind w:left="0" w:leftChars="0" w:firstLine="480" w:firstLineChars="200"/>
        <w:rPr>
          <w:rFonts w:hint="default" w:ascii="宋体" w:hAnsi="宋体" w:eastAsia="宋体" w:cs="宋体"/>
          <w:sz w:val="24"/>
          <w:szCs w:val="28"/>
          <w:highlight w:val="none"/>
          <w:lang w:val="en-US" w:eastAsia="zh-CN"/>
        </w:rPr>
      </w:pPr>
      <w:r>
        <w:rPr>
          <w:rFonts w:hint="default" w:ascii="宋体" w:hAnsi="宋体" w:eastAsia="宋体" w:cs="宋体"/>
          <w:sz w:val="24"/>
          <w:szCs w:val="28"/>
          <w:highlight w:val="none"/>
          <w:lang w:val="en-US" w:eastAsia="zh-CN"/>
        </w:rPr>
        <w:t>规范性引用文件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本标准主要引用了以下文件：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（1）GB/T 30012  城市轨道交通运营管理规范</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（2）GB 50157  地铁设计规范</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（3）GB 50490  城市轨道交通技术规范</w:t>
      </w:r>
    </w:p>
    <w:p>
      <w:pPr>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8"/>
          <w:lang w:val="en-US" w:eastAsia="zh-CN"/>
        </w:rPr>
        <w:t>（4）T/URTA 0005  导轨式胶轮系统全自动运行线路初期运营安全评估基本条件</w:t>
      </w:r>
    </w:p>
    <w:p>
      <w:pPr>
        <w:numPr>
          <w:ilvl w:val="-1"/>
          <w:numId w:val="0"/>
        </w:numPr>
        <w:spacing w:line="360" w:lineRule="auto"/>
        <w:ind w:left="0" w:leftChars="0" w:firstLine="480" w:firstLineChars="200"/>
        <w:rPr>
          <w:rFonts w:hint="default" w:ascii="宋体" w:hAnsi="宋体" w:eastAsia="宋体" w:cs="宋体"/>
          <w:sz w:val="24"/>
          <w:szCs w:val="28"/>
          <w:highlight w:val="none"/>
          <w:lang w:val="en-US" w:eastAsia="zh-CN"/>
        </w:rPr>
      </w:pPr>
      <w:r>
        <w:rPr>
          <w:rFonts w:hint="default" w:ascii="宋体" w:hAnsi="宋体" w:eastAsia="宋体" w:cs="宋体"/>
          <w:sz w:val="24"/>
          <w:szCs w:val="28"/>
          <w:lang w:val="en-US" w:eastAsia="zh-CN"/>
        </w:rPr>
        <w:t xml:space="preserve">3. </w:t>
      </w:r>
      <w:r>
        <w:rPr>
          <w:rFonts w:hint="default" w:ascii="宋体" w:hAnsi="宋体" w:eastAsia="宋体" w:cs="宋体"/>
          <w:sz w:val="24"/>
          <w:szCs w:val="28"/>
          <w:highlight w:val="none"/>
          <w:lang w:val="en-US" w:eastAsia="zh-CN"/>
        </w:rPr>
        <w:t>术语</w:t>
      </w:r>
      <w:r>
        <w:rPr>
          <w:rFonts w:hint="eastAsia" w:ascii="宋体" w:hAnsi="宋体" w:eastAsia="宋体" w:cs="宋体"/>
          <w:sz w:val="24"/>
          <w:szCs w:val="28"/>
          <w:lang w:val="en-US" w:eastAsia="zh-CN"/>
        </w:rPr>
        <w:t>和</w:t>
      </w:r>
      <w:r>
        <w:rPr>
          <w:rFonts w:hint="default" w:ascii="宋体" w:hAnsi="宋体" w:eastAsia="宋体" w:cs="宋体"/>
          <w:sz w:val="24"/>
          <w:szCs w:val="28"/>
          <w:highlight w:val="none"/>
          <w:lang w:val="en-US" w:eastAsia="zh-CN"/>
        </w:rPr>
        <w:t>定义</w:t>
      </w:r>
    </w:p>
    <w:p>
      <w:pPr>
        <w:spacing w:line="360" w:lineRule="auto"/>
        <w:ind w:firstLine="480" w:firstLineChars="200"/>
        <w:rPr>
          <w:rFonts w:hint="eastAsia" w:ascii="宋体" w:hAnsi="宋体" w:eastAsia="宋体" w:cs="宋体"/>
          <w:kern w:val="2"/>
          <w:sz w:val="24"/>
          <w:szCs w:val="24"/>
          <w:highlight w:val="yellow"/>
          <w:lang w:val="en-US" w:eastAsia="zh-CN" w:bidi="ar-SA"/>
        </w:rPr>
      </w:pPr>
      <w:r>
        <w:rPr>
          <w:rFonts w:hint="eastAsia" w:ascii="宋体" w:hAnsi="宋体" w:eastAsia="宋体" w:cs="宋体"/>
          <w:sz w:val="24"/>
          <w:szCs w:val="28"/>
          <w:highlight w:val="none"/>
          <w:lang w:val="en-US" w:eastAsia="zh-CN"/>
        </w:rPr>
        <w:t>本标准按照引用和创造相结合的原则，根据《城市轨道交通分类》（T</w:t>
      </w:r>
      <w:r>
        <w:rPr>
          <w:rFonts w:hint="default" w:ascii="宋体" w:hAnsi="宋体" w:eastAsia="宋体" w:cs="宋体"/>
          <w:sz w:val="24"/>
          <w:szCs w:val="28"/>
          <w:highlight w:val="none"/>
          <w:lang w:val="en-US" w:eastAsia="zh-CN"/>
        </w:rPr>
        <w:t>/</w:t>
      </w:r>
      <w:r>
        <w:rPr>
          <w:rFonts w:hint="eastAsia" w:ascii="宋体" w:hAnsi="宋体" w:eastAsia="宋体" w:cs="宋体"/>
          <w:sz w:val="24"/>
          <w:szCs w:val="28"/>
          <w:highlight w:val="none"/>
          <w:lang w:val="en-US" w:eastAsia="zh-CN"/>
        </w:rPr>
        <w:t xml:space="preserve">CAMET 00001—2020）、《城市轨道交通 </w:t>
      </w:r>
      <w:r>
        <w:rPr>
          <w:rFonts w:hint="default" w:ascii="宋体" w:hAnsi="宋体" w:eastAsia="宋体" w:cs="宋体"/>
          <w:sz w:val="24"/>
          <w:szCs w:val="28"/>
          <w:highlight w:val="none"/>
          <w:lang w:val="en-US" w:eastAsia="zh-CN"/>
        </w:rPr>
        <w:t xml:space="preserve"> </w:t>
      </w:r>
      <w:r>
        <w:rPr>
          <w:rFonts w:hint="eastAsia" w:ascii="宋体" w:hAnsi="宋体" w:eastAsia="宋体" w:cs="宋体"/>
          <w:sz w:val="24"/>
          <w:szCs w:val="28"/>
          <w:highlight w:val="none"/>
          <w:lang w:val="en-US" w:eastAsia="zh-CN"/>
        </w:rPr>
        <w:t xml:space="preserve">全自动运行系统规范 </w:t>
      </w:r>
      <w:r>
        <w:rPr>
          <w:rFonts w:hint="default" w:ascii="宋体" w:hAnsi="宋体" w:eastAsia="宋体" w:cs="宋体"/>
          <w:sz w:val="24"/>
          <w:szCs w:val="28"/>
          <w:highlight w:val="none"/>
          <w:lang w:val="en-US" w:eastAsia="zh-CN"/>
        </w:rPr>
        <w:t xml:space="preserve"> </w:t>
      </w:r>
      <w:r>
        <w:rPr>
          <w:rFonts w:hint="eastAsia" w:ascii="宋体" w:hAnsi="宋体" w:eastAsia="宋体" w:cs="宋体"/>
          <w:sz w:val="24"/>
          <w:szCs w:val="28"/>
          <w:highlight w:val="none"/>
          <w:lang w:val="en-US" w:eastAsia="zh-CN"/>
        </w:rPr>
        <w:t>第1部分：需求》（T/CAMET 040171.1</w:t>
      </w:r>
      <w:r>
        <w:rPr>
          <w:rFonts w:hint="eastAsia" w:ascii="宋体" w:hAnsi="宋体" w:eastAsia="宋体" w:cs="宋体"/>
          <w:sz w:val="24"/>
          <w:szCs w:val="28"/>
          <w:highlight w:val="none"/>
          <w:lang w:val="en-US" w:eastAsia="zh-CN"/>
        </w:rPr>
        <w:t>—</w:t>
      </w:r>
      <w:r>
        <w:rPr>
          <w:rFonts w:hint="eastAsia" w:ascii="宋体" w:hAnsi="宋体" w:eastAsia="宋体" w:cs="宋体"/>
          <w:sz w:val="24"/>
          <w:szCs w:val="28"/>
          <w:highlight w:val="none"/>
          <w:lang w:val="en-US" w:eastAsia="zh-CN"/>
        </w:rPr>
        <w:t>2019）以及导轨式胶轮系统各专业技术规格书等规范性文件、标准有关术语定义，共定义了导轨式胶轮系统、</w:t>
      </w:r>
      <w:r>
        <w:rPr>
          <w:rFonts w:hint="eastAsia" w:ascii="宋体" w:hAnsi="宋体" w:eastAsia="宋体" w:cs="宋体"/>
          <w:sz w:val="24"/>
          <w:szCs w:val="28"/>
          <w:highlight w:val="none"/>
          <w:lang w:val="en-US" w:eastAsia="zh-CN"/>
        </w:rPr>
        <w:t>行车调度员、</w:t>
      </w:r>
      <w:r>
        <w:rPr>
          <w:rFonts w:hint="eastAsia" w:ascii="宋体" w:hAnsi="宋体" w:eastAsia="宋体" w:cs="宋体"/>
          <w:sz w:val="24"/>
          <w:szCs w:val="28"/>
          <w:highlight w:val="none"/>
          <w:lang w:val="en-US" w:eastAsia="zh-CN"/>
        </w:rPr>
        <w:t>设备调度员、乘客调度员、司乘人员、轨道梁、综合车场、</w:t>
      </w:r>
      <w:r>
        <w:rPr>
          <w:rFonts w:hint="eastAsia" w:ascii="宋体" w:hAnsi="宋体" w:eastAsia="宋体" w:cs="宋体"/>
          <w:sz w:val="24"/>
          <w:szCs w:val="28"/>
          <w:highlight w:val="none"/>
          <w:lang w:val="en-US" w:eastAsia="zh-CN"/>
        </w:rPr>
        <w:t>全自动运行区域、非全自动运行区域、</w:t>
      </w:r>
      <w:r>
        <w:rPr>
          <w:rFonts w:hint="eastAsia" w:ascii="宋体" w:hAnsi="宋体" w:eastAsia="宋体" w:cs="宋体"/>
          <w:sz w:val="24"/>
          <w:szCs w:val="28"/>
          <w:highlight w:val="none"/>
          <w:lang w:val="en-US" w:eastAsia="zh-CN"/>
        </w:rPr>
        <w:t>休眠、唤醒等26个术语。</w:t>
      </w:r>
    </w:p>
    <w:p>
      <w:pPr>
        <w:numPr>
          <w:ilvl w:val="-1"/>
          <w:numId w:val="0"/>
        </w:numPr>
        <w:spacing w:line="360" w:lineRule="auto"/>
        <w:ind w:left="0" w:leftChars="0" w:firstLine="480" w:firstLineChars="200"/>
        <w:rPr>
          <w:rFonts w:hint="default" w:ascii="宋体" w:hAnsi="宋体" w:eastAsia="宋体" w:cs="宋体"/>
          <w:sz w:val="24"/>
          <w:szCs w:val="28"/>
          <w:highlight w:val="none"/>
          <w:lang w:val="en-US" w:eastAsia="zh-CN"/>
        </w:rPr>
      </w:pPr>
      <w:r>
        <w:rPr>
          <w:rFonts w:hint="default" w:ascii="宋体" w:hAnsi="宋体" w:eastAsia="宋体" w:cs="宋体"/>
          <w:sz w:val="24"/>
          <w:szCs w:val="28"/>
          <w:lang w:val="en-US" w:eastAsia="zh-CN"/>
        </w:rPr>
        <w:t xml:space="preserve">4. </w:t>
      </w:r>
      <w:r>
        <w:rPr>
          <w:rFonts w:hint="eastAsia" w:ascii="宋体" w:hAnsi="宋体" w:eastAsia="宋体" w:cs="宋体"/>
          <w:sz w:val="24"/>
          <w:szCs w:val="28"/>
          <w:lang w:val="en-US" w:eastAsia="zh-CN"/>
        </w:rPr>
        <w:t>基本</w:t>
      </w:r>
      <w:r>
        <w:rPr>
          <w:rFonts w:hint="default" w:ascii="宋体" w:hAnsi="宋体" w:eastAsia="宋体" w:cs="宋体"/>
          <w:sz w:val="24"/>
          <w:szCs w:val="28"/>
          <w:highlight w:val="none"/>
          <w:lang w:val="en-US" w:eastAsia="zh-CN"/>
        </w:rPr>
        <w:t>要求</w:t>
      </w:r>
    </w:p>
    <w:p>
      <w:pPr>
        <w:spacing w:line="360" w:lineRule="auto"/>
        <w:ind w:firstLine="480" w:firstLineChars="200"/>
        <w:rPr>
          <w:rFonts w:hint="eastAsia" w:ascii="宋体" w:hAnsi="宋体" w:eastAsia="宋体" w:cs="宋体"/>
          <w:color w:val="auto"/>
          <w:sz w:val="24"/>
          <w:szCs w:val="28"/>
          <w:highlight w:val="none"/>
          <w:lang w:val="en-US" w:eastAsia="zh-CN"/>
        </w:rPr>
      </w:pPr>
      <w:r>
        <w:rPr>
          <w:rFonts w:hint="eastAsia" w:ascii="宋体" w:hAnsi="宋体" w:eastAsia="宋体" w:cs="宋体"/>
          <w:color w:val="auto"/>
          <w:sz w:val="24"/>
          <w:szCs w:val="28"/>
          <w:highlight w:val="none"/>
          <w:lang w:val="en-US" w:eastAsia="zh-CN"/>
        </w:rPr>
        <w:t>4.1一般要求</w:t>
      </w:r>
    </w:p>
    <w:p>
      <w:pPr>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8"/>
          <w:highlight w:val="none"/>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highlight w:val="none"/>
          <w:lang w:val="en-US" w:eastAsia="zh-CN"/>
        </w:rPr>
        <w:t>）编制。</w:t>
      </w:r>
    </w:p>
    <w:p>
      <w:pPr>
        <w:spacing w:line="360" w:lineRule="auto"/>
        <w:ind w:firstLine="480" w:firstLineChars="200"/>
        <w:rPr>
          <w:rFonts w:hint="eastAsia" w:ascii="宋体" w:hAnsi="宋体" w:eastAsia="宋体" w:cs="宋体"/>
          <w:color w:val="auto"/>
          <w:sz w:val="24"/>
          <w:szCs w:val="28"/>
          <w:highlight w:val="none"/>
          <w:lang w:val="en-US" w:eastAsia="zh-CN"/>
        </w:rPr>
      </w:pPr>
      <w:r>
        <w:rPr>
          <w:rFonts w:hint="eastAsia" w:ascii="宋体" w:hAnsi="宋体" w:eastAsia="宋体" w:cs="宋体"/>
          <w:color w:val="auto"/>
          <w:sz w:val="24"/>
          <w:szCs w:val="28"/>
          <w:highlight w:val="none"/>
          <w:lang w:val="en-US" w:eastAsia="zh-CN"/>
        </w:rPr>
        <w:t>4.2列车运行计划</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w:t>
      </w:r>
      <w:r>
        <w:rPr>
          <w:rFonts w:hint="eastAsia" w:ascii="宋体" w:hAnsi="宋体" w:eastAsia="宋体" w:cs="宋体"/>
          <w:sz w:val="24"/>
          <w:szCs w:val="24"/>
        </w:rPr>
        <w:t>《城市轨道交通运营管理规定》（交通运输部令2018年第8号）</w:t>
      </w:r>
      <w:r>
        <w:rPr>
          <w:rFonts w:hint="eastAsia" w:ascii="宋体" w:hAnsi="宋体" w:eastAsia="宋体" w:cs="宋体"/>
          <w:sz w:val="24"/>
          <w:szCs w:val="28"/>
          <w:highlight w:val="none"/>
          <w:lang w:val="en-US" w:eastAsia="zh-CN"/>
        </w:rPr>
        <w:t>编制。</w:t>
      </w:r>
    </w:p>
    <w:p>
      <w:pPr>
        <w:spacing w:line="360" w:lineRule="auto"/>
        <w:ind w:firstLine="480" w:firstLineChars="200"/>
        <w:rPr>
          <w:rFonts w:hint="eastAsia" w:ascii="宋体" w:hAnsi="宋体" w:eastAsia="宋体" w:cs="宋体"/>
          <w:color w:val="auto"/>
          <w:sz w:val="24"/>
          <w:szCs w:val="28"/>
          <w:highlight w:val="none"/>
          <w:lang w:val="en-US" w:eastAsia="zh-CN"/>
        </w:rPr>
      </w:pPr>
      <w:r>
        <w:rPr>
          <w:rFonts w:hint="eastAsia" w:ascii="宋体" w:hAnsi="宋体" w:eastAsia="宋体" w:cs="宋体"/>
          <w:color w:val="auto"/>
          <w:sz w:val="24"/>
          <w:szCs w:val="28"/>
          <w:highlight w:val="none"/>
          <w:lang w:val="en-US" w:eastAsia="zh-CN"/>
        </w:rPr>
        <w:t>4.3调度指挥机构</w:t>
      </w:r>
    </w:p>
    <w:p>
      <w:pPr>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8"/>
          <w:highlight w:val="none"/>
          <w:lang w:val="en-US" w:eastAsia="zh-CN"/>
        </w:rPr>
        <w:t>参照了</w:t>
      </w:r>
      <w:r>
        <w:rPr>
          <w:rFonts w:hint="eastAsia" w:ascii="宋体" w:hAnsi="宋体" w:eastAsia="宋体" w:cs="宋体"/>
          <w:sz w:val="24"/>
          <w:szCs w:val="24"/>
        </w:rPr>
        <w:t>《城市轨道交通运营管理规定》（交通运输部令2018年第8号）</w:t>
      </w:r>
      <w:r>
        <w:rPr>
          <w:rFonts w:hint="eastAsia" w:ascii="宋体" w:hAnsi="宋体" w:eastAsia="宋体" w:cs="宋体"/>
          <w:sz w:val="24"/>
          <w:szCs w:val="28"/>
          <w:highlight w:val="none"/>
          <w:lang w:val="en-US" w:eastAsia="zh-CN"/>
        </w:rPr>
        <w:t>编制。</w:t>
      </w:r>
    </w:p>
    <w:p>
      <w:pPr>
        <w:spacing w:line="360" w:lineRule="auto"/>
        <w:ind w:firstLine="480" w:firstLineChars="200"/>
        <w:rPr>
          <w:rFonts w:hint="eastAsia" w:ascii="宋体" w:hAnsi="宋体" w:eastAsia="宋体" w:cs="宋体"/>
          <w:color w:val="auto"/>
          <w:sz w:val="24"/>
          <w:szCs w:val="28"/>
          <w:highlight w:val="none"/>
          <w:lang w:val="en-US" w:eastAsia="zh-CN"/>
        </w:rPr>
      </w:pPr>
      <w:r>
        <w:rPr>
          <w:rFonts w:hint="eastAsia" w:ascii="宋体" w:hAnsi="宋体" w:eastAsia="宋体" w:cs="宋体"/>
          <w:color w:val="auto"/>
          <w:sz w:val="24"/>
          <w:szCs w:val="28"/>
          <w:highlight w:val="none"/>
          <w:lang w:val="en-US" w:eastAsia="zh-CN"/>
        </w:rPr>
        <w:t>4.4调度命令</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8"/>
          <w:highlight w:val="none"/>
          <w:lang w:val="en-US" w:eastAsia="zh-CN"/>
        </w:rPr>
        <w:t>参照了</w:t>
      </w:r>
      <w:r>
        <w:rPr>
          <w:rFonts w:hint="eastAsia" w:ascii="宋体" w:hAnsi="宋体" w:eastAsia="宋体" w:cs="宋体"/>
          <w:sz w:val="24"/>
          <w:szCs w:val="28"/>
          <w:lang w:val="en-US" w:eastAsia="zh-CN"/>
        </w:rPr>
        <w:t>《</w:t>
      </w:r>
      <w:r>
        <w:rPr>
          <w:rFonts w:hint="eastAsia" w:ascii="宋体" w:hAnsi="宋体" w:eastAsia="宋体" w:cs="宋体"/>
          <w:sz w:val="24"/>
          <w:szCs w:val="28"/>
          <w:highlight w:val="none"/>
          <w:lang w:val="en-US" w:eastAsia="zh-CN"/>
        </w:rPr>
        <w:t>导轨式胶轮系统全自动运行线路初期运营安全评估基本条件</w:t>
      </w:r>
      <w:r>
        <w:rPr>
          <w:rFonts w:hint="eastAsia" w:ascii="宋体" w:hAnsi="宋体" w:eastAsia="宋体" w:cs="宋体"/>
          <w:sz w:val="24"/>
          <w:szCs w:val="24"/>
          <w:lang w:val="en-US" w:eastAsia="zh-CN"/>
        </w:rPr>
        <w:t>》（T/URTA 0005）编制。</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4.5行车组织方法</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参照了《城市轨道交通行车组织管理办法》（交运规〔2019〕14号）编制。</w:t>
      </w:r>
    </w:p>
    <w:p>
      <w:pPr>
        <w:pStyle w:val="18"/>
        <w:ind w:firstLine="42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4.6</w:t>
      </w:r>
      <w:r>
        <w:rPr>
          <w:rFonts w:hint="eastAsia" w:hAnsi="宋体" w:cs="宋体"/>
          <w:sz w:val="24"/>
          <w:szCs w:val="28"/>
          <w:highlight w:val="none"/>
          <w:lang w:val="en-US" w:eastAsia="zh-CN"/>
        </w:rPr>
        <w:t>列车运行</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参照了《地铁设计规范》（GB 50157）编制。</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4.7行车记录</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参照了《城市轨道交通行车组织管理办法》（交运规〔2019〕14号）编制。</w:t>
      </w:r>
    </w:p>
    <w:p>
      <w:pPr>
        <w:numPr>
          <w:ilvl w:val="-1"/>
          <w:numId w:val="0"/>
        </w:numPr>
        <w:spacing w:line="360" w:lineRule="auto"/>
        <w:ind w:left="0" w:leftChars="0" w:firstLine="480" w:firstLineChars="200"/>
        <w:rPr>
          <w:rFonts w:hint="default" w:ascii="宋体" w:hAnsi="宋体" w:eastAsia="宋体" w:cs="宋体"/>
          <w:sz w:val="24"/>
          <w:szCs w:val="28"/>
          <w:highlight w:val="none"/>
          <w:lang w:val="en-US" w:eastAsia="zh-CN"/>
        </w:rPr>
      </w:pPr>
      <w:r>
        <w:rPr>
          <w:rFonts w:hint="default" w:ascii="宋体" w:hAnsi="宋体" w:eastAsia="宋体" w:cs="宋体"/>
          <w:sz w:val="24"/>
          <w:szCs w:val="28"/>
          <w:lang w:val="en-US" w:eastAsia="zh-CN"/>
        </w:rPr>
        <w:t xml:space="preserve">5. </w:t>
      </w:r>
      <w:r>
        <w:rPr>
          <w:rFonts w:hint="eastAsia" w:ascii="宋体" w:hAnsi="宋体" w:eastAsia="宋体" w:cs="宋体"/>
          <w:sz w:val="24"/>
          <w:szCs w:val="28"/>
          <w:lang w:val="en-US" w:eastAsia="zh-CN"/>
        </w:rPr>
        <w:t>设备设施</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5.1一般要求</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参照了《城市轨道交通运营管理规范》（GB/T 30012）编制。</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5.2限界</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参照了《城市轨道交通技术规范》（GB 50490）编制。</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5.3管理要求</w:t>
      </w:r>
    </w:p>
    <w:p>
      <w:pPr>
        <w:spacing w:line="360" w:lineRule="auto"/>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参照了《城市轨道交通运营管理规定》（交通运输部令2018年第8号）编制。</w:t>
      </w:r>
    </w:p>
    <w:p>
      <w:pPr>
        <w:numPr>
          <w:ilvl w:val="0"/>
          <w:numId w:val="3"/>
        </w:numPr>
        <w:spacing w:line="360" w:lineRule="auto"/>
        <w:ind w:left="0" w:leftChars="0"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lang w:val="en-US" w:eastAsia="zh-CN"/>
        </w:rPr>
        <w:t>正常情况下的</w:t>
      </w:r>
      <w:r>
        <w:rPr>
          <w:rFonts w:hint="default" w:ascii="宋体" w:hAnsi="宋体" w:eastAsia="宋体" w:cs="宋体"/>
          <w:sz w:val="24"/>
          <w:szCs w:val="28"/>
          <w:highlight w:val="none"/>
          <w:lang w:val="en-US" w:eastAsia="zh-CN"/>
        </w:rPr>
        <w:t>行车组织</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6.1一般要求</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参照了《城市轨道交通行车组织规则》</w:t>
      </w:r>
      <w:r>
        <w:rPr>
          <w:rFonts w:hint="eastAsia" w:ascii="宋体" w:hAnsi="宋体" w:eastAsia="宋体" w:cs="宋体"/>
          <w:sz w:val="24"/>
          <w:szCs w:val="28"/>
          <w:lang w:val="en-US" w:eastAsia="zh-CN"/>
        </w:rPr>
        <w:t>（JT/T 1185）</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6.2运营前准备</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6.3运营期间</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6.4运营结束</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6.5列车巡视</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6.6车站巡视</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numPr>
          <w:ilvl w:val="0"/>
          <w:numId w:val="3"/>
        </w:numPr>
        <w:spacing w:line="360" w:lineRule="auto"/>
        <w:ind w:left="0" w:leftChars="0"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lang w:val="en-US" w:eastAsia="zh-CN"/>
        </w:rPr>
        <w:t>非正常情况下的</w:t>
      </w:r>
      <w:r>
        <w:rPr>
          <w:rFonts w:hint="default" w:ascii="宋体" w:hAnsi="宋体" w:eastAsia="宋体" w:cs="宋体"/>
          <w:sz w:val="24"/>
          <w:szCs w:val="28"/>
          <w:highlight w:val="none"/>
          <w:lang w:val="en-US" w:eastAsia="zh-CN"/>
        </w:rPr>
        <w:t>行车组织</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7.1一般要求</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参照了《城市轨道交通行车组织规则》</w:t>
      </w:r>
      <w:r>
        <w:rPr>
          <w:rFonts w:hint="eastAsia" w:ascii="宋体" w:hAnsi="宋体" w:eastAsia="宋体" w:cs="宋体"/>
          <w:sz w:val="24"/>
          <w:szCs w:val="28"/>
          <w:lang w:val="en-US" w:eastAsia="zh-CN"/>
        </w:rPr>
        <w:t>（JT/T 1185）</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7.2行车调整</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参照了《城市轨道交通行车组织规则》</w:t>
      </w:r>
      <w:r>
        <w:rPr>
          <w:rFonts w:hint="eastAsia" w:ascii="宋体" w:hAnsi="宋体" w:eastAsia="宋体" w:cs="宋体"/>
          <w:sz w:val="24"/>
          <w:szCs w:val="28"/>
          <w:lang w:val="en-US" w:eastAsia="zh-CN"/>
        </w:rPr>
        <w:t>（JT/T 1185）</w:t>
      </w:r>
      <w:r>
        <w:rPr>
          <w:rFonts w:hint="eastAsia" w:ascii="宋体" w:hAnsi="宋体" w:eastAsia="宋体" w:cs="宋体"/>
          <w:sz w:val="24"/>
          <w:szCs w:val="28"/>
          <w:lang w:val="en-US" w:eastAsia="zh-CN"/>
        </w:rPr>
        <w:t>编制。</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7.3设备故障时的行车组织</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参照了《城市轨道交通行车组织规则》</w:t>
      </w:r>
      <w:r>
        <w:rPr>
          <w:rFonts w:hint="eastAsia" w:ascii="宋体" w:hAnsi="宋体" w:eastAsia="宋体" w:cs="宋体"/>
          <w:sz w:val="24"/>
          <w:szCs w:val="28"/>
          <w:lang w:val="en-US" w:eastAsia="zh-CN"/>
        </w:rPr>
        <w:t>（JT/T 1185）</w:t>
      </w:r>
      <w:r>
        <w:rPr>
          <w:rFonts w:hint="eastAsia" w:ascii="宋体" w:hAnsi="宋体" w:eastAsia="宋体" w:cs="宋体"/>
          <w:sz w:val="24"/>
          <w:szCs w:val="28"/>
          <w:lang w:val="en-US" w:eastAsia="zh-CN"/>
        </w:rPr>
        <w:t>编制。</w:t>
      </w:r>
    </w:p>
    <w:p>
      <w:pPr>
        <w:numPr>
          <w:ilvl w:val="0"/>
          <w:numId w:val="3"/>
        </w:numPr>
        <w:spacing w:line="360" w:lineRule="auto"/>
        <w:ind w:left="0" w:leftChars="0" w:firstLine="480" w:firstLineChars="200"/>
        <w:rPr>
          <w:rFonts w:hint="eastAsia" w:ascii="宋体" w:hAnsi="宋体" w:eastAsia="宋体" w:cs="宋体"/>
          <w:sz w:val="24"/>
          <w:szCs w:val="28"/>
          <w:highlight w:val="none"/>
          <w:lang w:val="en-US" w:eastAsia="zh-CN"/>
        </w:rPr>
      </w:pPr>
      <w:r>
        <w:rPr>
          <w:rFonts w:hint="default" w:ascii="宋体" w:hAnsi="宋体" w:eastAsia="宋体" w:cs="宋体"/>
          <w:sz w:val="24"/>
          <w:szCs w:val="28"/>
          <w:highlight w:val="none"/>
          <w:lang w:val="en-US" w:eastAsia="zh-CN"/>
        </w:rPr>
        <w:t>运营施工组织</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8.1一般要求</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参照了《城市轨道交通行车组织规则》</w:t>
      </w:r>
      <w:r>
        <w:rPr>
          <w:rFonts w:hint="eastAsia" w:ascii="宋体" w:hAnsi="宋体" w:eastAsia="宋体" w:cs="宋体"/>
          <w:sz w:val="24"/>
          <w:szCs w:val="28"/>
          <w:lang w:val="en-US" w:eastAsia="zh-CN"/>
        </w:rPr>
        <w:t>（JT/T 1185）</w:t>
      </w:r>
      <w:r>
        <w:rPr>
          <w:rFonts w:hint="eastAsia" w:ascii="宋体" w:hAnsi="宋体" w:eastAsia="宋体" w:cs="宋体"/>
          <w:sz w:val="24"/>
          <w:szCs w:val="28"/>
          <w:lang w:val="en-US" w:eastAsia="zh-CN"/>
        </w:rPr>
        <w:t>编制。</w:t>
      </w:r>
    </w:p>
    <w:p>
      <w:pPr>
        <w:spacing w:line="360" w:lineRule="auto"/>
        <w:ind w:firstLine="480" w:firstLineChars="200"/>
        <w:rPr>
          <w:rFonts w:hint="default" w:ascii="宋体" w:hAnsi="宋体" w:eastAsia="宋体" w:cs="宋体"/>
          <w:sz w:val="24"/>
          <w:szCs w:val="28"/>
          <w:lang w:val="en-US" w:eastAsia="zh-CN"/>
        </w:rPr>
      </w:pPr>
      <w:r>
        <w:rPr>
          <w:rFonts w:hint="eastAsia" w:ascii="宋体" w:hAnsi="宋体" w:eastAsia="宋体" w:cs="宋体"/>
          <w:sz w:val="24"/>
          <w:szCs w:val="28"/>
          <w:lang w:val="en-US" w:eastAsia="zh-CN"/>
        </w:rPr>
        <w:t>8.2</w:t>
      </w:r>
      <w:r>
        <w:rPr>
          <w:rFonts w:hint="eastAsia" w:ascii="宋体" w:hAnsi="宋体" w:eastAsia="宋体" w:cs="宋体"/>
          <w:sz w:val="24"/>
          <w:szCs w:val="28"/>
          <w:lang w:val="en-US" w:eastAsia="zh-CN"/>
        </w:rPr>
        <w:t>运营期间的设备设施抢修</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numPr>
          <w:ilvl w:val="0"/>
          <w:numId w:val="3"/>
        </w:numPr>
        <w:spacing w:line="360" w:lineRule="auto"/>
        <w:ind w:left="0" w:leftChars="0" w:firstLine="480" w:firstLineChars="200"/>
        <w:rPr>
          <w:rFonts w:hint="eastAsia" w:ascii="宋体" w:hAnsi="宋体" w:eastAsia="宋体" w:cs="宋体"/>
          <w:sz w:val="24"/>
          <w:szCs w:val="28"/>
          <w:highlight w:val="none"/>
          <w:lang w:val="en-US" w:eastAsia="zh-CN"/>
        </w:rPr>
      </w:pPr>
      <w:r>
        <w:rPr>
          <w:rFonts w:hint="default" w:ascii="宋体" w:hAnsi="宋体" w:eastAsia="宋体" w:cs="宋体"/>
          <w:sz w:val="24"/>
          <w:szCs w:val="28"/>
          <w:highlight w:val="none"/>
          <w:lang w:val="en-US" w:eastAsia="zh-CN"/>
        </w:rPr>
        <w:t>信号显示</w:t>
      </w:r>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参照了《城市轨道交通运营管理规范》</w:t>
      </w:r>
      <w:r>
        <w:rPr>
          <w:rFonts w:hint="eastAsia" w:ascii="宋体" w:hAnsi="宋体" w:eastAsia="宋体" w:cs="宋体"/>
          <w:sz w:val="24"/>
          <w:szCs w:val="28"/>
          <w:lang w:val="en-US" w:eastAsia="zh-CN"/>
        </w:rPr>
        <w:t>（GB/T 30012）</w:t>
      </w:r>
      <w:r>
        <w:rPr>
          <w:rFonts w:hint="eastAsia" w:ascii="宋体" w:hAnsi="宋体" w:eastAsia="宋体" w:cs="宋体"/>
          <w:sz w:val="24"/>
          <w:szCs w:val="28"/>
          <w:lang w:val="en-US" w:eastAsia="zh-CN"/>
        </w:rPr>
        <w:t>编制。</w:t>
      </w:r>
    </w:p>
    <w:p>
      <w:pPr>
        <w:numPr>
          <w:ilvl w:val="0"/>
          <w:numId w:val="3"/>
        </w:numPr>
        <w:spacing w:line="360" w:lineRule="auto"/>
        <w:ind w:left="0" w:leftChars="0" w:firstLine="480" w:firstLineChars="200"/>
        <w:rPr>
          <w:rFonts w:hint="eastAsia" w:ascii="宋体" w:hAnsi="宋体" w:eastAsia="宋体" w:cs="宋体"/>
          <w:sz w:val="24"/>
          <w:szCs w:val="28"/>
          <w:highlight w:val="none"/>
          <w:lang w:val="en-US" w:eastAsia="zh-CN"/>
        </w:rPr>
      </w:pPr>
      <w:bookmarkStart w:id="8" w:name="_Toc88567744"/>
      <w:bookmarkStart w:id="9" w:name="_Toc4474"/>
      <w:r>
        <w:rPr>
          <w:rFonts w:hint="eastAsia" w:ascii="宋体" w:hAnsi="宋体" w:eastAsia="宋体" w:cs="宋体"/>
          <w:sz w:val="24"/>
          <w:szCs w:val="28"/>
          <w:highlight w:val="none"/>
          <w:lang w:val="en-US" w:eastAsia="zh-CN"/>
        </w:rPr>
        <w:t>运行及服务关键指标</w:t>
      </w:r>
      <w:bookmarkEnd w:id="8"/>
      <w:bookmarkEnd w:id="9"/>
    </w:p>
    <w:p>
      <w:p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 xml:space="preserve">参照了《城市轨道交通 </w:t>
      </w:r>
      <w:r>
        <w:rPr>
          <w:rFonts w:hint="default" w:ascii="宋体" w:hAnsi="宋体" w:eastAsia="宋体" w:cs="宋体"/>
          <w:sz w:val="24"/>
          <w:szCs w:val="28"/>
          <w:lang w:val="en-US" w:eastAsia="zh-CN"/>
        </w:rPr>
        <w:t xml:space="preserve"> </w:t>
      </w:r>
      <w:r>
        <w:rPr>
          <w:rFonts w:hint="eastAsia" w:ascii="宋体" w:hAnsi="宋体" w:eastAsia="宋体" w:cs="宋体"/>
          <w:sz w:val="24"/>
          <w:szCs w:val="28"/>
          <w:lang w:val="en-US" w:eastAsia="zh-CN"/>
        </w:rPr>
        <w:t xml:space="preserve">全自动运行系统规范 </w:t>
      </w:r>
      <w:r>
        <w:rPr>
          <w:rFonts w:hint="default" w:ascii="宋体" w:hAnsi="宋体" w:eastAsia="宋体" w:cs="宋体"/>
          <w:sz w:val="24"/>
          <w:szCs w:val="28"/>
          <w:lang w:val="en-US" w:eastAsia="zh-CN"/>
        </w:rPr>
        <w:t xml:space="preserve"> </w:t>
      </w:r>
      <w:r>
        <w:rPr>
          <w:rFonts w:hint="eastAsia" w:ascii="宋体" w:hAnsi="宋体" w:eastAsia="宋体" w:cs="宋体"/>
          <w:sz w:val="24"/>
          <w:szCs w:val="28"/>
          <w:lang w:val="en-US" w:eastAsia="zh-CN"/>
        </w:rPr>
        <w:t>第6部分：初期运营基本条件</w:t>
      </w:r>
      <w:r>
        <w:rPr>
          <w:rFonts w:hint="eastAsia" w:ascii="宋体" w:hAnsi="宋体" w:eastAsia="宋体" w:cs="宋体"/>
          <w:sz w:val="24"/>
          <w:szCs w:val="28"/>
          <w:lang w:val="en-US" w:eastAsia="zh-CN"/>
        </w:rPr>
        <w:t>》（T/CAMET 04017.6）</w:t>
      </w:r>
      <w:r>
        <w:rPr>
          <w:rFonts w:hint="eastAsia" w:ascii="宋体" w:hAnsi="宋体" w:eastAsia="宋体" w:cs="宋体"/>
          <w:sz w:val="24"/>
          <w:szCs w:val="28"/>
          <w:lang w:val="en-US" w:eastAsia="zh-CN"/>
        </w:rPr>
        <w:t>编制。</w:t>
      </w:r>
    </w:p>
    <w:p>
      <w:pPr>
        <w:outlineLvl w:val="0"/>
        <w:rPr>
          <w:rFonts w:ascii="Times New Roman" w:hAnsi="Times New Roman" w:eastAsia="宋体" w:cs="Times New Roman"/>
          <w:b/>
          <w:sz w:val="28"/>
          <w:szCs w:val="28"/>
          <w:highlight w:val="none"/>
        </w:rPr>
      </w:pPr>
      <w:bookmarkStart w:id="10" w:name="_Toc29646"/>
      <w:r>
        <w:rPr>
          <w:rFonts w:hint="eastAsia" w:ascii="Times New Roman" w:hAnsi="Times New Roman" w:eastAsia="宋体" w:cs="Times New Roman"/>
          <w:b/>
          <w:sz w:val="28"/>
          <w:szCs w:val="28"/>
          <w:highlight w:val="none"/>
          <w:lang w:val="en-US" w:eastAsia="zh-CN"/>
        </w:rPr>
        <w:t>八</w:t>
      </w:r>
      <w:r>
        <w:rPr>
          <w:rFonts w:ascii="Times New Roman" w:hAnsi="Times New Roman" w:eastAsia="宋体" w:cs="Times New Roman"/>
          <w:b/>
          <w:sz w:val="28"/>
          <w:szCs w:val="28"/>
          <w:highlight w:val="none"/>
        </w:rPr>
        <w:t>、标准实施建议</w:t>
      </w:r>
      <w:bookmarkEnd w:id="10"/>
    </w:p>
    <w:p>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lang w:val="en-US" w:eastAsia="zh-CN"/>
        </w:rPr>
        <w:t>在</w:t>
      </w:r>
      <w:r>
        <w:rPr>
          <w:rFonts w:hint="eastAsia" w:ascii="Times New Roman" w:hAnsi="Times New Roman" w:eastAsia="宋体" w:cs="Times New Roman"/>
          <w:sz w:val="24"/>
          <w:szCs w:val="24"/>
          <w:highlight w:val="none"/>
          <w:lang w:val="en-US" w:eastAsia="zh-CN"/>
        </w:rPr>
        <w:t>实施本</w:t>
      </w:r>
      <w:r>
        <w:rPr>
          <w:rFonts w:hint="eastAsia" w:ascii="Times New Roman" w:hAnsi="Times New Roman" w:eastAsia="宋体" w:cs="Times New Roman"/>
          <w:sz w:val="24"/>
          <w:szCs w:val="24"/>
          <w:lang w:val="en-US" w:eastAsia="zh-CN"/>
        </w:rPr>
        <w:t>标准前，应组织导轨式胶轮系统线路相关部门、人员进行学习，使有关部门准确、深刻领会标准的内容和执行流程</w:t>
      </w:r>
      <w:r>
        <w:rPr>
          <w:rFonts w:hint="eastAsia" w:ascii="Times New Roman" w:hAnsi="Times New Roman" w:eastAsia="宋体" w:cs="Times New Roman"/>
          <w:sz w:val="24"/>
          <w:szCs w:val="24"/>
          <w:highlight w:val="none"/>
          <w:lang w:val="en-US" w:eastAsia="zh-CN"/>
        </w:rPr>
        <w:t>。</w:t>
      </w:r>
    </w:p>
    <w:p>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本标准针对导轨式胶轮系统提出了全面的行车组织管理要求，在具体应用时，应根据线路实际需求使用本标准。</w:t>
      </w:r>
      <w:bookmarkStart w:id="13" w:name="_GoBack"/>
      <w:bookmarkEnd w:id="13"/>
    </w:p>
    <w:p>
      <w:pPr>
        <w:outlineLvl w:val="0"/>
        <w:rPr>
          <w:rFonts w:ascii="Times New Roman" w:hAnsi="Times New Roman" w:eastAsia="宋体" w:cs="Times New Roman"/>
          <w:b/>
          <w:sz w:val="28"/>
          <w:szCs w:val="28"/>
        </w:rPr>
      </w:pPr>
      <w:bookmarkStart w:id="11" w:name="_Toc11343"/>
      <w:bookmarkStart w:id="12" w:name="_Toc74140574"/>
      <w:r>
        <w:rPr>
          <w:rFonts w:hint="eastAsia" w:ascii="Times New Roman" w:hAnsi="Times New Roman" w:eastAsia="宋体" w:cs="Times New Roman"/>
          <w:b/>
          <w:sz w:val="28"/>
          <w:szCs w:val="28"/>
        </w:rPr>
        <w:t>九</w:t>
      </w:r>
      <w:r>
        <w:rPr>
          <w:rFonts w:ascii="Times New Roman" w:hAnsi="Times New Roman" w:eastAsia="宋体" w:cs="Times New Roman"/>
          <w:b/>
          <w:sz w:val="28"/>
          <w:szCs w:val="28"/>
        </w:rPr>
        <w:t>、标准起草单位及人员</w:t>
      </w:r>
      <w:bookmarkEnd w:id="11"/>
      <w:bookmarkEnd w:id="12"/>
    </w:p>
    <w:p>
      <w:pPr>
        <w:numPr>
          <w:ilvl w:val="0"/>
          <w:numId w:val="4"/>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主编</w:t>
      </w:r>
      <w:r>
        <w:rPr>
          <w:rFonts w:hint="eastAsia" w:ascii="宋体" w:hAnsi="宋体" w:eastAsia="宋体" w:cs="宋体"/>
          <w:b/>
          <w:sz w:val="24"/>
          <w:szCs w:val="24"/>
        </w:rPr>
        <w:t>单位</w:t>
      </w:r>
    </w:p>
    <w:p>
      <w:pPr>
        <w:spacing w:line="360" w:lineRule="auto"/>
        <w:ind w:firstLine="480" w:firstLineChars="200"/>
        <w:rPr>
          <w:rFonts w:hint="eastAsia" w:ascii="宋体" w:hAnsi="宋体" w:eastAsia="宋体" w:cs="宋体"/>
          <w:b w:val="0"/>
          <w:sz w:val="24"/>
          <w:szCs w:val="24"/>
        </w:rPr>
      </w:pPr>
      <w:r>
        <w:rPr>
          <w:rFonts w:hint="eastAsia" w:ascii="宋体" w:hAnsi="宋体" w:eastAsia="宋体" w:cs="宋体"/>
          <w:b w:val="0"/>
          <w:sz w:val="24"/>
          <w:szCs w:val="24"/>
        </w:rPr>
        <w:t>比亚迪汽车工业有限公司</w:t>
      </w:r>
    </w:p>
    <w:p>
      <w:pPr>
        <w:numPr>
          <w:ilvl w:val="0"/>
          <w:numId w:val="4"/>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参编单位</w:t>
      </w:r>
    </w:p>
    <w:p>
      <w:pPr>
        <w:bidi w:val="0"/>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深圳比亚迪轨道交通运营有限公司、比亚迪建设工程有限公司、比亚迪勘察设计有限公司、比亚迪机电设备有限公司、比亚迪通信信号有限公司、重庆云巴轨道交通运营管理有限公司</w:t>
      </w:r>
    </w:p>
    <w:p>
      <w:pPr>
        <w:numPr>
          <w:ilvl w:val="0"/>
          <w:numId w:val="4"/>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主编人员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刘国政、刘世雄、刘杨</w:t>
      </w:r>
    </w:p>
    <w:p>
      <w:pPr>
        <w:numPr>
          <w:ilvl w:val="0"/>
          <w:numId w:val="4"/>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参编人员</w:t>
      </w:r>
    </w:p>
    <w:p>
      <w:pPr>
        <w:bidi w:val="0"/>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何飞、林跃明、刘瑞联、康华玲、李科、黄裕锋、滕秀霜、林鸿全、韩君怡、林伟森、张乃文、黄伟潮、王小春、马忠义、郭淑萍、郭甜、李君连、徐梦莹、李慧、晏艳珍、宿李、李斯新、梁伦富、杨东周、温强、王道武、史秀荣、蒋坤、周子贤、肖辉、唐文伟、王玉、单清云、孟强、饶江波、刘振华、刘伟华、黄伟、赵理想、王景云、李红艳、徐海霞、李志辉、王勇、蒋海川、李长松、蔡忠海、孙静</w:t>
      </w:r>
    </w:p>
    <w:p>
      <w:pPr>
        <w:bidi w:val="0"/>
        <w:spacing w:line="360" w:lineRule="auto"/>
        <w:ind w:firstLine="480" w:firstLineChars="200"/>
        <w:jc w:val="left"/>
        <w:rPr>
          <w:rFonts w:hint="eastAsia" w:ascii="宋体" w:hAnsi="宋体" w:eastAsia="宋体" w:cs="宋体"/>
          <w:sz w:val="24"/>
          <w:szCs w:val="24"/>
          <w:lang w:val="en-US" w:eastAsia="zh-CN"/>
        </w:rPr>
      </w:pPr>
    </w:p>
    <w:sectPr>
      <w:footerReference r:id="rId6" w:type="default"/>
      <w:pgSz w:w="11906" w:h="16838"/>
      <w:pgMar w:top="1440" w:right="1800" w:bottom="1440" w:left="180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《导轨式胶轮系统</w:t>
    </w:r>
    <w:r>
      <w:rPr>
        <w:rFonts w:hint="default"/>
        <w:lang w:val="en-US"/>
      </w:rPr>
      <w:t>行车组织管理规范</w:t>
    </w:r>
    <w:r>
      <w:rPr>
        <w:rFonts w:hint="eastAsia"/>
      </w:rPr>
      <w:t>》编制说明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ED79A"/>
    <w:multiLevelType w:val="singleLevel"/>
    <w:tmpl w:val="903ED79A"/>
    <w:lvl w:ilvl="0" w:tentative="0">
      <w:start w:val="6"/>
      <w:numFmt w:val="decimal"/>
      <w:suff w:val="space"/>
      <w:lvlText w:val="%1."/>
      <w:lvlJc w:val="left"/>
    </w:lvl>
  </w:abstractNum>
  <w:abstractNum w:abstractNumId="1">
    <w:nsid w:val="E302C1A5"/>
    <w:multiLevelType w:val="singleLevel"/>
    <w:tmpl w:val="E302C1A5"/>
    <w:lvl w:ilvl="0" w:tentative="0">
      <w:start w:val="1"/>
      <w:numFmt w:val="decimal"/>
      <w:suff w:val="space"/>
      <w:lvlText w:val="%1."/>
      <w:lvlJc w:val="left"/>
    </w:lvl>
  </w:abstractNum>
  <w:abstractNum w:abstractNumId="2">
    <w:nsid w:val="0DDB5DDA"/>
    <w:multiLevelType w:val="singleLevel"/>
    <w:tmpl w:val="0DDB5DDA"/>
    <w:lvl w:ilvl="0" w:tentative="0">
      <w:start w:val="2"/>
      <w:numFmt w:val="decimal"/>
      <w:suff w:val="space"/>
      <w:lvlText w:val="%1."/>
      <w:lvlJc w:val="left"/>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2"/>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657"/>
    <w:rsid w:val="00001A4B"/>
    <w:rsid w:val="000041EE"/>
    <w:rsid w:val="00012D08"/>
    <w:rsid w:val="00031A6E"/>
    <w:rsid w:val="00036C62"/>
    <w:rsid w:val="00040F72"/>
    <w:rsid w:val="000505EE"/>
    <w:rsid w:val="000521FF"/>
    <w:rsid w:val="00053AD5"/>
    <w:rsid w:val="00056492"/>
    <w:rsid w:val="000568C8"/>
    <w:rsid w:val="000666E3"/>
    <w:rsid w:val="00067B91"/>
    <w:rsid w:val="00086A48"/>
    <w:rsid w:val="00090D8E"/>
    <w:rsid w:val="00091486"/>
    <w:rsid w:val="00095611"/>
    <w:rsid w:val="0009714C"/>
    <w:rsid w:val="00097708"/>
    <w:rsid w:val="000A6D14"/>
    <w:rsid w:val="000B4CA0"/>
    <w:rsid w:val="000E06DB"/>
    <w:rsid w:val="000F3412"/>
    <w:rsid w:val="00105E70"/>
    <w:rsid w:val="00112B9C"/>
    <w:rsid w:val="0012132F"/>
    <w:rsid w:val="00132B4F"/>
    <w:rsid w:val="001346EB"/>
    <w:rsid w:val="0013511C"/>
    <w:rsid w:val="0014389A"/>
    <w:rsid w:val="00147BA0"/>
    <w:rsid w:val="00151205"/>
    <w:rsid w:val="00153F46"/>
    <w:rsid w:val="001603E2"/>
    <w:rsid w:val="00165CAA"/>
    <w:rsid w:val="001720CB"/>
    <w:rsid w:val="00175954"/>
    <w:rsid w:val="001A6111"/>
    <w:rsid w:val="001D4D74"/>
    <w:rsid w:val="001D5D7C"/>
    <w:rsid w:val="001E1471"/>
    <w:rsid w:val="001F6147"/>
    <w:rsid w:val="001F775E"/>
    <w:rsid w:val="00217A4B"/>
    <w:rsid w:val="0023168F"/>
    <w:rsid w:val="00232C2B"/>
    <w:rsid w:val="002336AC"/>
    <w:rsid w:val="00235E2D"/>
    <w:rsid w:val="002528BD"/>
    <w:rsid w:val="00253580"/>
    <w:rsid w:val="0026726C"/>
    <w:rsid w:val="00271C55"/>
    <w:rsid w:val="00277899"/>
    <w:rsid w:val="002810C9"/>
    <w:rsid w:val="00283144"/>
    <w:rsid w:val="00283659"/>
    <w:rsid w:val="00293A8D"/>
    <w:rsid w:val="002947DB"/>
    <w:rsid w:val="002A09F1"/>
    <w:rsid w:val="002A3B5D"/>
    <w:rsid w:val="002A45C3"/>
    <w:rsid w:val="002B64D6"/>
    <w:rsid w:val="002C429D"/>
    <w:rsid w:val="002D1270"/>
    <w:rsid w:val="002D4B06"/>
    <w:rsid w:val="002D558F"/>
    <w:rsid w:val="002D6E35"/>
    <w:rsid w:val="002E2819"/>
    <w:rsid w:val="002E5096"/>
    <w:rsid w:val="003056D4"/>
    <w:rsid w:val="00325ED9"/>
    <w:rsid w:val="00330AB1"/>
    <w:rsid w:val="003336B0"/>
    <w:rsid w:val="00346F30"/>
    <w:rsid w:val="003539FF"/>
    <w:rsid w:val="0035507C"/>
    <w:rsid w:val="0036538A"/>
    <w:rsid w:val="003662DA"/>
    <w:rsid w:val="00374574"/>
    <w:rsid w:val="003752F2"/>
    <w:rsid w:val="003808FF"/>
    <w:rsid w:val="0039221B"/>
    <w:rsid w:val="003942FD"/>
    <w:rsid w:val="00395C97"/>
    <w:rsid w:val="003A005E"/>
    <w:rsid w:val="003B084C"/>
    <w:rsid w:val="003B1BE7"/>
    <w:rsid w:val="003B243A"/>
    <w:rsid w:val="003C6603"/>
    <w:rsid w:val="003C78F0"/>
    <w:rsid w:val="003D311A"/>
    <w:rsid w:val="003D4235"/>
    <w:rsid w:val="003D743D"/>
    <w:rsid w:val="003F01A1"/>
    <w:rsid w:val="003F2A0A"/>
    <w:rsid w:val="003F608B"/>
    <w:rsid w:val="00401711"/>
    <w:rsid w:val="00403362"/>
    <w:rsid w:val="00410581"/>
    <w:rsid w:val="00410F81"/>
    <w:rsid w:val="00411E9F"/>
    <w:rsid w:val="00411FEC"/>
    <w:rsid w:val="00415E94"/>
    <w:rsid w:val="00425CBB"/>
    <w:rsid w:val="00426AAA"/>
    <w:rsid w:val="00426F2E"/>
    <w:rsid w:val="00431CD3"/>
    <w:rsid w:val="00445848"/>
    <w:rsid w:val="004550E2"/>
    <w:rsid w:val="00455FC5"/>
    <w:rsid w:val="004561C7"/>
    <w:rsid w:val="00461949"/>
    <w:rsid w:val="00467CDC"/>
    <w:rsid w:val="004705E4"/>
    <w:rsid w:val="00470FAD"/>
    <w:rsid w:val="00474381"/>
    <w:rsid w:val="00476E24"/>
    <w:rsid w:val="004815BE"/>
    <w:rsid w:val="0048275F"/>
    <w:rsid w:val="00486E46"/>
    <w:rsid w:val="00490456"/>
    <w:rsid w:val="00492BB5"/>
    <w:rsid w:val="00494E1E"/>
    <w:rsid w:val="004972DA"/>
    <w:rsid w:val="004A19E2"/>
    <w:rsid w:val="004A57DC"/>
    <w:rsid w:val="004A7740"/>
    <w:rsid w:val="004B3166"/>
    <w:rsid w:val="004C1FC0"/>
    <w:rsid w:val="004E06AF"/>
    <w:rsid w:val="004E25C6"/>
    <w:rsid w:val="004E2FA4"/>
    <w:rsid w:val="004E6C6F"/>
    <w:rsid w:val="004E7657"/>
    <w:rsid w:val="004F0491"/>
    <w:rsid w:val="004F07CF"/>
    <w:rsid w:val="004F2837"/>
    <w:rsid w:val="004F6BDE"/>
    <w:rsid w:val="00502F4F"/>
    <w:rsid w:val="00505D0C"/>
    <w:rsid w:val="00512662"/>
    <w:rsid w:val="00521C74"/>
    <w:rsid w:val="00524D1A"/>
    <w:rsid w:val="00535D0B"/>
    <w:rsid w:val="005450E8"/>
    <w:rsid w:val="0054594A"/>
    <w:rsid w:val="0054598D"/>
    <w:rsid w:val="00545C22"/>
    <w:rsid w:val="005509A9"/>
    <w:rsid w:val="00554BBD"/>
    <w:rsid w:val="00557D2D"/>
    <w:rsid w:val="005647C7"/>
    <w:rsid w:val="00565D2C"/>
    <w:rsid w:val="00566C9A"/>
    <w:rsid w:val="00571C2A"/>
    <w:rsid w:val="00573FCC"/>
    <w:rsid w:val="005774FC"/>
    <w:rsid w:val="005836EA"/>
    <w:rsid w:val="005879E0"/>
    <w:rsid w:val="00587D73"/>
    <w:rsid w:val="00593693"/>
    <w:rsid w:val="00594192"/>
    <w:rsid w:val="00597640"/>
    <w:rsid w:val="005A6B9F"/>
    <w:rsid w:val="005C4F3B"/>
    <w:rsid w:val="005C5742"/>
    <w:rsid w:val="005D1E26"/>
    <w:rsid w:val="005D7C73"/>
    <w:rsid w:val="005F08B1"/>
    <w:rsid w:val="005F238F"/>
    <w:rsid w:val="005F5CE9"/>
    <w:rsid w:val="00601A2B"/>
    <w:rsid w:val="00603804"/>
    <w:rsid w:val="00612196"/>
    <w:rsid w:val="00621AB5"/>
    <w:rsid w:val="00624DC1"/>
    <w:rsid w:val="006260FA"/>
    <w:rsid w:val="006275BB"/>
    <w:rsid w:val="00630580"/>
    <w:rsid w:val="0063212C"/>
    <w:rsid w:val="00632A89"/>
    <w:rsid w:val="00641C4D"/>
    <w:rsid w:val="006473C0"/>
    <w:rsid w:val="0065616A"/>
    <w:rsid w:val="0065669A"/>
    <w:rsid w:val="00660C0C"/>
    <w:rsid w:val="006677A6"/>
    <w:rsid w:val="00671693"/>
    <w:rsid w:val="00673690"/>
    <w:rsid w:val="00681EF9"/>
    <w:rsid w:val="006876F8"/>
    <w:rsid w:val="00690079"/>
    <w:rsid w:val="006A46A0"/>
    <w:rsid w:val="006A7BB5"/>
    <w:rsid w:val="006C3404"/>
    <w:rsid w:val="006E26F3"/>
    <w:rsid w:val="006F0DA4"/>
    <w:rsid w:val="006F7C7D"/>
    <w:rsid w:val="006F7D3C"/>
    <w:rsid w:val="0071079E"/>
    <w:rsid w:val="0071170D"/>
    <w:rsid w:val="00717263"/>
    <w:rsid w:val="007206ED"/>
    <w:rsid w:val="00741202"/>
    <w:rsid w:val="00755D22"/>
    <w:rsid w:val="007615BB"/>
    <w:rsid w:val="00764C31"/>
    <w:rsid w:val="00770B79"/>
    <w:rsid w:val="0077201A"/>
    <w:rsid w:val="00776904"/>
    <w:rsid w:val="00784991"/>
    <w:rsid w:val="00792F72"/>
    <w:rsid w:val="00793302"/>
    <w:rsid w:val="007935DE"/>
    <w:rsid w:val="00795783"/>
    <w:rsid w:val="007B181D"/>
    <w:rsid w:val="007B4FE4"/>
    <w:rsid w:val="007C1B9A"/>
    <w:rsid w:val="007C26EC"/>
    <w:rsid w:val="007C47BF"/>
    <w:rsid w:val="007F370F"/>
    <w:rsid w:val="007F558E"/>
    <w:rsid w:val="0080272D"/>
    <w:rsid w:val="00803771"/>
    <w:rsid w:val="00811CFA"/>
    <w:rsid w:val="00814888"/>
    <w:rsid w:val="008220D2"/>
    <w:rsid w:val="008306C7"/>
    <w:rsid w:val="00833622"/>
    <w:rsid w:val="008404D0"/>
    <w:rsid w:val="008459F1"/>
    <w:rsid w:val="00860A58"/>
    <w:rsid w:val="00867AAB"/>
    <w:rsid w:val="008736F5"/>
    <w:rsid w:val="00874993"/>
    <w:rsid w:val="0087635B"/>
    <w:rsid w:val="00884C9C"/>
    <w:rsid w:val="00885242"/>
    <w:rsid w:val="008879FC"/>
    <w:rsid w:val="00893A2A"/>
    <w:rsid w:val="008A4577"/>
    <w:rsid w:val="008B1E3A"/>
    <w:rsid w:val="008C1FEE"/>
    <w:rsid w:val="008C2338"/>
    <w:rsid w:val="008C4365"/>
    <w:rsid w:val="008C6668"/>
    <w:rsid w:val="008C7AD1"/>
    <w:rsid w:val="008D581F"/>
    <w:rsid w:val="008D662B"/>
    <w:rsid w:val="008E3DC6"/>
    <w:rsid w:val="008E410D"/>
    <w:rsid w:val="008F537E"/>
    <w:rsid w:val="00903806"/>
    <w:rsid w:val="00904018"/>
    <w:rsid w:val="009067E7"/>
    <w:rsid w:val="00906976"/>
    <w:rsid w:val="00906E22"/>
    <w:rsid w:val="00907C9C"/>
    <w:rsid w:val="00910857"/>
    <w:rsid w:val="00913EB6"/>
    <w:rsid w:val="009201DE"/>
    <w:rsid w:val="0092531F"/>
    <w:rsid w:val="00927714"/>
    <w:rsid w:val="009315B0"/>
    <w:rsid w:val="00935754"/>
    <w:rsid w:val="00944EBB"/>
    <w:rsid w:val="009456E3"/>
    <w:rsid w:val="009574C2"/>
    <w:rsid w:val="009630AD"/>
    <w:rsid w:val="00963174"/>
    <w:rsid w:val="00963577"/>
    <w:rsid w:val="00965A23"/>
    <w:rsid w:val="0097025D"/>
    <w:rsid w:val="00972675"/>
    <w:rsid w:val="00975102"/>
    <w:rsid w:val="009850B8"/>
    <w:rsid w:val="00985224"/>
    <w:rsid w:val="00995934"/>
    <w:rsid w:val="009968E4"/>
    <w:rsid w:val="009B017C"/>
    <w:rsid w:val="009B100C"/>
    <w:rsid w:val="009B10B0"/>
    <w:rsid w:val="009C0172"/>
    <w:rsid w:val="009C1E75"/>
    <w:rsid w:val="009C700C"/>
    <w:rsid w:val="009D12BA"/>
    <w:rsid w:val="009D49C1"/>
    <w:rsid w:val="009D5BEC"/>
    <w:rsid w:val="009E1272"/>
    <w:rsid w:val="009E294E"/>
    <w:rsid w:val="009E2ED5"/>
    <w:rsid w:val="009F39FB"/>
    <w:rsid w:val="00A01767"/>
    <w:rsid w:val="00A05E99"/>
    <w:rsid w:val="00A06674"/>
    <w:rsid w:val="00A21437"/>
    <w:rsid w:val="00A30361"/>
    <w:rsid w:val="00A326DD"/>
    <w:rsid w:val="00A33F2F"/>
    <w:rsid w:val="00A35B67"/>
    <w:rsid w:val="00A374D0"/>
    <w:rsid w:val="00A419A9"/>
    <w:rsid w:val="00A41C23"/>
    <w:rsid w:val="00A45E31"/>
    <w:rsid w:val="00A469F1"/>
    <w:rsid w:val="00A522EE"/>
    <w:rsid w:val="00A54DF3"/>
    <w:rsid w:val="00A56D84"/>
    <w:rsid w:val="00A602CD"/>
    <w:rsid w:val="00A62DAA"/>
    <w:rsid w:val="00A77C55"/>
    <w:rsid w:val="00A848A2"/>
    <w:rsid w:val="00A87FAA"/>
    <w:rsid w:val="00AA6B2B"/>
    <w:rsid w:val="00AB600D"/>
    <w:rsid w:val="00AC2115"/>
    <w:rsid w:val="00AC476B"/>
    <w:rsid w:val="00AC4846"/>
    <w:rsid w:val="00AD052E"/>
    <w:rsid w:val="00AE1C2D"/>
    <w:rsid w:val="00AE5F8B"/>
    <w:rsid w:val="00AF116C"/>
    <w:rsid w:val="00B00118"/>
    <w:rsid w:val="00B01A98"/>
    <w:rsid w:val="00B14E49"/>
    <w:rsid w:val="00B1502F"/>
    <w:rsid w:val="00B16383"/>
    <w:rsid w:val="00B166A9"/>
    <w:rsid w:val="00B205EB"/>
    <w:rsid w:val="00B2249B"/>
    <w:rsid w:val="00B26673"/>
    <w:rsid w:val="00B34414"/>
    <w:rsid w:val="00B344A6"/>
    <w:rsid w:val="00B41446"/>
    <w:rsid w:val="00B43F5A"/>
    <w:rsid w:val="00B44D99"/>
    <w:rsid w:val="00B45057"/>
    <w:rsid w:val="00B47F36"/>
    <w:rsid w:val="00B546D7"/>
    <w:rsid w:val="00B643DC"/>
    <w:rsid w:val="00B7444C"/>
    <w:rsid w:val="00B84BED"/>
    <w:rsid w:val="00B85B3E"/>
    <w:rsid w:val="00BA02DE"/>
    <w:rsid w:val="00BA28B9"/>
    <w:rsid w:val="00BA4126"/>
    <w:rsid w:val="00BB0C3D"/>
    <w:rsid w:val="00BC0218"/>
    <w:rsid w:val="00BC3852"/>
    <w:rsid w:val="00BC44E9"/>
    <w:rsid w:val="00BD38F9"/>
    <w:rsid w:val="00BD3AE1"/>
    <w:rsid w:val="00BD48C5"/>
    <w:rsid w:val="00BE1303"/>
    <w:rsid w:val="00BE5294"/>
    <w:rsid w:val="00C03BDD"/>
    <w:rsid w:val="00C074A5"/>
    <w:rsid w:val="00C14176"/>
    <w:rsid w:val="00C15763"/>
    <w:rsid w:val="00C2315E"/>
    <w:rsid w:val="00C3188E"/>
    <w:rsid w:val="00C340C6"/>
    <w:rsid w:val="00C412C2"/>
    <w:rsid w:val="00C47B31"/>
    <w:rsid w:val="00C538DC"/>
    <w:rsid w:val="00C61CB5"/>
    <w:rsid w:val="00C623F1"/>
    <w:rsid w:val="00C63A49"/>
    <w:rsid w:val="00C75184"/>
    <w:rsid w:val="00C76B12"/>
    <w:rsid w:val="00C80FC1"/>
    <w:rsid w:val="00C87D5F"/>
    <w:rsid w:val="00CA5794"/>
    <w:rsid w:val="00CC1A59"/>
    <w:rsid w:val="00CC1B27"/>
    <w:rsid w:val="00CD30E8"/>
    <w:rsid w:val="00CD3AD3"/>
    <w:rsid w:val="00CD4B06"/>
    <w:rsid w:val="00CE68D8"/>
    <w:rsid w:val="00CF5733"/>
    <w:rsid w:val="00D00DEE"/>
    <w:rsid w:val="00D032E6"/>
    <w:rsid w:val="00D06BE4"/>
    <w:rsid w:val="00D170DF"/>
    <w:rsid w:val="00D24571"/>
    <w:rsid w:val="00D32905"/>
    <w:rsid w:val="00D3417E"/>
    <w:rsid w:val="00D45000"/>
    <w:rsid w:val="00D5513E"/>
    <w:rsid w:val="00D646EF"/>
    <w:rsid w:val="00D72262"/>
    <w:rsid w:val="00D72ADE"/>
    <w:rsid w:val="00D802E5"/>
    <w:rsid w:val="00D8559D"/>
    <w:rsid w:val="00D85A3A"/>
    <w:rsid w:val="00D97222"/>
    <w:rsid w:val="00D97585"/>
    <w:rsid w:val="00DA2A0C"/>
    <w:rsid w:val="00DA4445"/>
    <w:rsid w:val="00DB13FB"/>
    <w:rsid w:val="00DB5F09"/>
    <w:rsid w:val="00DD3413"/>
    <w:rsid w:val="00DD773B"/>
    <w:rsid w:val="00DD79F8"/>
    <w:rsid w:val="00DE09EA"/>
    <w:rsid w:val="00DE2BB8"/>
    <w:rsid w:val="00DE6281"/>
    <w:rsid w:val="00DF0D14"/>
    <w:rsid w:val="00DF352A"/>
    <w:rsid w:val="00DF54B9"/>
    <w:rsid w:val="00E024F8"/>
    <w:rsid w:val="00E056DB"/>
    <w:rsid w:val="00E148B5"/>
    <w:rsid w:val="00E21F83"/>
    <w:rsid w:val="00E27038"/>
    <w:rsid w:val="00E276B1"/>
    <w:rsid w:val="00E30A51"/>
    <w:rsid w:val="00E364EE"/>
    <w:rsid w:val="00E37E95"/>
    <w:rsid w:val="00E5482E"/>
    <w:rsid w:val="00E56EB0"/>
    <w:rsid w:val="00E64282"/>
    <w:rsid w:val="00E74145"/>
    <w:rsid w:val="00E86B97"/>
    <w:rsid w:val="00E90B13"/>
    <w:rsid w:val="00E971AB"/>
    <w:rsid w:val="00EA4BF6"/>
    <w:rsid w:val="00EA5777"/>
    <w:rsid w:val="00EA78A2"/>
    <w:rsid w:val="00EB11FE"/>
    <w:rsid w:val="00EC0A8F"/>
    <w:rsid w:val="00EE3FBA"/>
    <w:rsid w:val="00EF103F"/>
    <w:rsid w:val="00EF22AA"/>
    <w:rsid w:val="00EF4881"/>
    <w:rsid w:val="00F067E6"/>
    <w:rsid w:val="00F077CF"/>
    <w:rsid w:val="00F11E6A"/>
    <w:rsid w:val="00F166C4"/>
    <w:rsid w:val="00F22392"/>
    <w:rsid w:val="00F25144"/>
    <w:rsid w:val="00F357E9"/>
    <w:rsid w:val="00F35B1A"/>
    <w:rsid w:val="00F41309"/>
    <w:rsid w:val="00F45E7A"/>
    <w:rsid w:val="00F52106"/>
    <w:rsid w:val="00F6730E"/>
    <w:rsid w:val="00F73A95"/>
    <w:rsid w:val="00F80232"/>
    <w:rsid w:val="00F83557"/>
    <w:rsid w:val="00F90146"/>
    <w:rsid w:val="00FA1D6B"/>
    <w:rsid w:val="00FB4B2B"/>
    <w:rsid w:val="00FD05B1"/>
    <w:rsid w:val="00FD2A98"/>
    <w:rsid w:val="00FD2DBF"/>
    <w:rsid w:val="00FD67C2"/>
    <w:rsid w:val="00FE0327"/>
    <w:rsid w:val="00FE0848"/>
    <w:rsid w:val="00FF0538"/>
    <w:rsid w:val="00FF2B93"/>
    <w:rsid w:val="00FF2EAE"/>
    <w:rsid w:val="00FF662D"/>
    <w:rsid w:val="01CF6CB2"/>
    <w:rsid w:val="032D5751"/>
    <w:rsid w:val="05FD3E49"/>
    <w:rsid w:val="06A7007B"/>
    <w:rsid w:val="06FA7E8F"/>
    <w:rsid w:val="07C24055"/>
    <w:rsid w:val="081724D3"/>
    <w:rsid w:val="0915633C"/>
    <w:rsid w:val="0B354CD6"/>
    <w:rsid w:val="138F4329"/>
    <w:rsid w:val="143509B4"/>
    <w:rsid w:val="1439672F"/>
    <w:rsid w:val="16751CFB"/>
    <w:rsid w:val="16C0570C"/>
    <w:rsid w:val="16ED620C"/>
    <w:rsid w:val="183F38BD"/>
    <w:rsid w:val="19156A49"/>
    <w:rsid w:val="1B2F3C6E"/>
    <w:rsid w:val="1CC2105C"/>
    <w:rsid w:val="1D7B4878"/>
    <w:rsid w:val="1E52211F"/>
    <w:rsid w:val="22F32345"/>
    <w:rsid w:val="23ED134D"/>
    <w:rsid w:val="25303BCA"/>
    <w:rsid w:val="2601480B"/>
    <w:rsid w:val="299420F4"/>
    <w:rsid w:val="2AF53AA5"/>
    <w:rsid w:val="2B9D72CD"/>
    <w:rsid w:val="2C26670C"/>
    <w:rsid w:val="2C91453D"/>
    <w:rsid w:val="2F122EEB"/>
    <w:rsid w:val="2F542F52"/>
    <w:rsid w:val="2FC62C43"/>
    <w:rsid w:val="38406717"/>
    <w:rsid w:val="403F7F7A"/>
    <w:rsid w:val="4584449B"/>
    <w:rsid w:val="470E5870"/>
    <w:rsid w:val="48B122E6"/>
    <w:rsid w:val="49D56F43"/>
    <w:rsid w:val="4AA24740"/>
    <w:rsid w:val="4D83615C"/>
    <w:rsid w:val="4ED93A46"/>
    <w:rsid w:val="525F7ADB"/>
    <w:rsid w:val="54525C9C"/>
    <w:rsid w:val="55710EB0"/>
    <w:rsid w:val="571204FB"/>
    <w:rsid w:val="574D795D"/>
    <w:rsid w:val="5A384794"/>
    <w:rsid w:val="5A3C4294"/>
    <w:rsid w:val="5B1B6FD4"/>
    <w:rsid w:val="5EB421B5"/>
    <w:rsid w:val="5F8869D8"/>
    <w:rsid w:val="60CA5162"/>
    <w:rsid w:val="63114357"/>
    <w:rsid w:val="64911817"/>
    <w:rsid w:val="64C17319"/>
    <w:rsid w:val="6726794F"/>
    <w:rsid w:val="673231FF"/>
    <w:rsid w:val="6DD60541"/>
    <w:rsid w:val="6E0A6B0A"/>
    <w:rsid w:val="6FFE339D"/>
    <w:rsid w:val="72A013FD"/>
    <w:rsid w:val="73690950"/>
    <w:rsid w:val="749A27E7"/>
    <w:rsid w:val="7570606D"/>
    <w:rsid w:val="7A204B53"/>
    <w:rsid w:val="7A5F3E6A"/>
    <w:rsid w:val="7AE819EE"/>
    <w:rsid w:val="7B2D4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customStyle="1" w:styleId="13">
    <w:name w:val="批注框文本 Char"/>
    <w:basedOn w:val="11"/>
    <w:link w:val="4"/>
    <w:semiHidden/>
    <w:qFormat/>
    <w:uiPriority w:val="99"/>
    <w:rPr>
      <w:sz w:val="18"/>
      <w:szCs w:val="18"/>
    </w:rPr>
  </w:style>
  <w:style w:type="character" w:customStyle="1" w:styleId="14">
    <w:name w:val="日期 Char"/>
    <w:basedOn w:val="11"/>
    <w:link w:val="3"/>
    <w:semiHidden/>
    <w:qFormat/>
    <w:uiPriority w:val="99"/>
  </w:style>
  <w:style w:type="paragraph" w:styleId="15">
    <w:name w:val="List Paragraph"/>
    <w:basedOn w:val="1"/>
    <w:qFormat/>
    <w:uiPriority w:val="99"/>
    <w:pPr>
      <w:ind w:firstLine="420" w:firstLineChars="200"/>
    </w:pPr>
  </w:style>
  <w:style w:type="character" w:customStyle="1" w:styleId="16">
    <w:name w:val="页眉 Char"/>
    <w:basedOn w:val="11"/>
    <w:link w:val="6"/>
    <w:qFormat/>
    <w:uiPriority w:val="99"/>
    <w:rPr>
      <w:sz w:val="18"/>
      <w:szCs w:val="18"/>
    </w:rPr>
  </w:style>
  <w:style w:type="character" w:customStyle="1" w:styleId="17">
    <w:name w:val="页脚 Char"/>
    <w:basedOn w:val="11"/>
    <w:link w:val="5"/>
    <w:qFormat/>
    <w:uiPriority w:val="99"/>
    <w:rPr>
      <w:sz w:val="18"/>
      <w:szCs w:val="18"/>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0">
    <w:name w:val="标准文件_一级无标题"/>
    <w:basedOn w:val="21"/>
    <w:qFormat/>
    <w:uiPriority w:val="0"/>
    <w:pPr>
      <w:spacing w:before="0" w:beforeLines="0" w:after="0" w:afterLines="0"/>
      <w:outlineLvl w:val="9"/>
    </w:pPr>
    <w:rPr>
      <w:rFonts w:ascii="宋体" w:eastAsia="宋体"/>
    </w:rPr>
  </w:style>
  <w:style w:type="paragraph" w:customStyle="1" w:styleId="21">
    <w:name w:val="标准文件_一级条标题"/>
    <w:basedOn w:val="22"/>
    <w:next w:val="18"/>
    <w:qFormat/>
    <w:uiPriority w:val="0"/>
    <w:pPr>
      <w:numPr>
        <w:ilvl w:val="2"/>
      </w:numPr>
      <w:spacing w:before="50" w:beforeLines="50" w:after="50" w:afterLines="50"/>
      <w:outlineLvl w:val="1"/>
    </w:pPr>
  </w:style>
  <w:style w:type="paragraph" w:customStyle="1" w:styleId="22">
    <w:name w:val="标准文件_章标题"/>
    <w:next w:val="1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BF4A5-251A-430D-A96F-B7DC37E897BC}">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20</Pages>
  <Words>1984</Words>
  <Characters>11309</Characters>
  <Lines>94</Lines>
  <Paragraphs>26</Paragraphs>
  <TotalTime>4</TotalTime>
  <ScaleCrop>false</ScaleCrop>
  <LinksUpToDate>false</LinksUpToDate>
  <CharactersWithSpaces>13267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2018-07-08T03:17:00Z</dcterms:created>
  <dc:creator>Windows User</dc:creator>
  <cp:lastModifiedBy>guo.shuping</cp:lastModifiedBy>
  <cp:lastPrinted>2018-08-01T02:08:00Z</cp:lastPrinted>
  <dcterms:modified xsi:type="dcterms:W3CDTF">2022-08-01T09:21:06Z</dcterms:modified>
  <cp:revision>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4F7D31CB7DE44D4BAC8B3640A6DB3A3B</vt:lpwstr>
  </property>
</Properties>
</file>